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bottom w:val="none" w:color="auto" w:sz="0" w:space="0"/>
        </w:pBdr>
        <w:shd w:val="clear" w:fill="FFFFFF"/>
        <w:spacing w:before="0" w:beforeAutospacing="0" w:after="0" w:afterAutospacing="0" w:line="750" w:lineRule="atLeast"/>
        <w:ind w:left="0" w:right="0"/>
        <w:jc w:val="center"/>
        <w:rPr>
          <w:rFonts w:ascii="微软雅黑" w:hAnsi="微软雅黑" w:eastAsia="微软雅黑" w:cs="微软雅黑"/>
          <w:color w:val="0000FF"/>
          <w:sz w:val="42"/>
          <w:szCs w:val="42"/>
        </w:rPr>
      </w:pPr>
      <w:bookmarkStart w:id="0" w:name="_GoBack"/>
      <w:r>
        <w:rPr>
          <w:rFonts w:hint="eastAsia" w:ascii="微软雅黑" w:hAnsi="微软雅黑" w:eastAsia="微软雅黑" w:cs="微软雅黑"/>
          <w:color w:val="0000FF"/>
          <w:kern w:val="0"/>
          <w:sz w:val="42"/>
          <w:szCs w:val="42"/>
          <w:shd w:val="clear" w:fill="FFFFFF"/>
          <w:lang w:val="en-US" w:eastAsia="zh-CN" w:bidi="ar"/>
        </w:rPr>
        <w:t>关于《国家税务总局关于实施＜中华人民共和国印花税法＞等有关事项的公告》的解读</w:t>
      </w:r>
    </w:p>
    <w:bookmarkEnd w:id="0"/>
    <w:p>
      <w:pPr>
        <w:keepNext w:val="0"/>
        <w:keepLines w:val="0"/>
        <w:widowControl/>
        <w:suppressLineNumbers w:val="0"/>
        <w:pBdr>
          <w:top w:val="none" w:color="auto" w:sz="0" w:space="0"/>
          <w:bottom w:val="single" w:color="DEDCD8" w:sz="6" w:space="0"/>
        </w:pBdr>
        <w:shd w:val="clear" w:fill="FFFFFF"/>
        <w:spacing w:before="0" w:beforeAutospacing="0" w:after="0" w:afterAutospacing="0"/>
        <w:ind w:left="0" w:right="0"/>
        <w:jc w:val="center"/>
        <w:rPr>
          <w:rFonts w:hint="eastAsia" w:ascii="微软雅黑" w:hAnsi="微软雅黑" w:eastAsia="微软雅黑" w:cs="微软雅黑"/>
          <w:vanish/>
          <w:color w:val="0000FF"/>
          <w:sz w:val="24"/>
          <w:szCs w:val="24"/>
        </w:rPr>
      </w:pPr>
      <w:r>
        <w:rPr>
          <w:rFonts w:hint="eastAsia" w:ascii="微软雅黑" w:hAnsi="微软雅黑" w:eastAsia="微软雅黑" w:cs="微软雅黑"/>
          <w:vanish/>
          <w:color w:val="0000FF"/>
          <w:kern w:val="0"/>
          <w:sz w:val="24"/>
          <w:szCs w:val="24"/>
          <w:shd w:val="clear" w:fill="FFFFFF"/>
          <w:lang w:val="en-US" w:eastAsia="zh-CN" w:bidi="ar"/>
        </w:rPr>
        <w:t>关于《国家税务总局关于实施＜中华人民共和国印花税法＞等有关事项的公告》的解读</w:t>
      </w:r>
    </w:p>
    <w:p>
      <w:pPr>
        <w:keepNext w:val="0"/>
        <w:keepLines w:val="0"/>
        <w:widowControl/>
        <w:suppressLineNumbers w:val="0"/>
        <w:pBdr>
          <w:top w:val="none" w:color="auto" w:sz="0" w:space="0"/>
          <w:bottom w:val="none" w:color="auto" w:sz="0" w:space="0"/>
        </w:pBdr>
        <w:shd w:val="clear" w:fill="FFFFFF"/>
        <w:spacing w:before="210" w:beforeAutospacing="0" w:after="210" w:afterAutospacing="0"/>
        <w:ind w:left="0" w:right="0"/>
        <w:jc w:val="center"/>
        <w:rPr>
          <w:rFonts w:hint="eastAsia" w:ascii="微软雅黑" w:hAnsi="微软雅黑" w:eastAsia="微软雅黑" w:cs="微软雅黑"/>
          <w:color w:val="0000FF"/>
          <w:sz w:val="24"/>
          <w:szCs w:val="24"/>
        </w:rPr>
      </w:pPr>
      <w:r>
        <w:rPr>
          <w:rFonts w:hint="eastAsia" w:ascii="微软雅黑" w:hAnsi="微软雅黑" w:eastAsia="微软雅黑" w:cs="微软雅黑"/>
          <w:color w:val="0000FF"/>
          <w:kern w:val="0"/>
          <w:sz w:val="21"/>
          <w:szCs w:val="21"/>
          <w:shd w:val="clear" w:fill="FFFFFF"/>
          <w:lang w:val="en-US" w:eastAsia="zh-CN" w:bidi="ar"/>
        </w:rPr>
        <w:t>2022年06月29日</w:t>
      </w:r>
      <w:r>
        <w:rPr>
          <w:rFonts w:hint="eastAsia" w:ascii="微软雅黑" w:hAnsi="微软雅黑" w:eastAsia="微软雅黑" w:cs="微软雅黑"/>
          <w:color w:val="0000FF"/>
          <w:kern w:val="0"/>
          <w:sz w:val="24"/>
          <w:szCs w:val="24"/>
          <w:shd w:val="clear" w:fill="FFFFFF"/>
          <w:lang w:val="en-US" w:eastAsia="zh-CN" w:bidi="ar"/>
        </w:rPr>
        <w:t xml:space="preserve"> </w:t>
      </w:r>
      <w:r>
        <w:rPr>
          <w:rFonts w:hint="eastAsia" w:ascii="微软雅黑" w:hAnsi="微软雅黑" w:eastAsia="微软雅黑" w:cs="微软雅黑"/>
          <w:color w:val="0000FF"/>
          <w:kern w:val="0"/>
          <w:sz w:val="24"/>
          <w:szCs w:val="24"/>
          <w:shd w:val="clear" w:fill="FFFFFF"/>
          <w:lang w:val="en-US" w:eastAsia="zh-CN" w:bidi="ar"/>
        </w:rPr>
        <w:t>来源：国家税务总局办公厅</w:t>
      </w:r>
      <w:r>
        <w:rPr>
          <w:rFonts w:hint="eastAsia" w:ascii="微软雅黑" w:hAnsi="微软雅黑" w:eastAsia="微软雅黑" w:cs="微软雅黑"/>
          <w:color w:val="0000FF"/>
          <w:kern w:val="0"/>
          <w:sz w:val="24"/>
          <w:szCs w:val="24"/>
          <w:shd w:val="clear" w:fill="FFFFFF"/>
          <w:lang w:val="en-US" w:eastAsia="zh-CN" w:bidi="ar"/>
        </w:rPr>
        <w:t xml:space="preserve"> </w:t>
      </w:r>
      <w:r>
        <w:rPr>
          <w:rFonts w:hint="eastAsia" w:ascii="微软雅黑" w:hAnsi="微软雅黑" w:eastAsia="微软雅黑" w:cs="微软雅黑"/>
          <w:vanish/>
          <w:color w:val="0000FF"/>
          <w:kern w:val="0"/>
          <w:sz w:val="24"/>
          <w:szCs w:val="24"/>
          <w:shd w:val="clear" w:fill="FFFFFF"/>
          <w:lang w:val="en-US" w:eastAsia="zh-CN" w:bidi="ar"/>
        </w:rPr>
        <w:t>来源：</w:t>
      </w:r>
      <w:r>
        <w:rPr>
          <w:rFonts w:hint="eastAsia" w:ascii="微软雅黑" w:hAnsi="微软雅黑" w:eastAsia="微软雅黑" w:cs="微软雅黑"/>
          <w:vanish/>
          <w:color w:val="0000FF"/>
          <w:kern w:val="0"/>
          <w:sz w:val="24"/>
          <w:szCs w:val="24"/>
          <w:u w:val="none"/>
          <w:shd w:val="clear" w:fill="FFFFFF"/>
          <w:lang w:val="en-US" w:eastAsia="zh-CN" w:bidi="ar"/>
        </w:rPr>
        <w:fldChar w:fldCharType="begin"/>
      </w:r>
      <w:r>
        <w:rPr>
          <w:rFonts w:hint="eastAsia" w:ascii="微软雅黑" w:hAnsi="微软雅黑" w:eastAsia="微软雅黑" w:cs="微软雅黑"/>
          <w:vanish/>
          <w:color w:val="0000FF"/>
          <w:kern w:val="0"/>
          <w:sz w:val="24"/>
          <w:szCs w:val="24"/>
          <w:u w:val="none"/>
          <w:shd w:val="clear" w:fill="FFFFFF"/>
          <w:lang w:val="en-US" w:eastAsia="zh-CN" w:bidi="ar"/>
        </w:rPr>
        <w:instrText xml:space="preserve"> HYPERLINK "http://www.chinatax.gov.cn/chinatax/n810341/n810760/c5176920/" \t "http://www.chinatax.gov.cn/chinatax/n810341/n810760/c5176920/_blank" </w:instrText>
      </w:r>
      <w:r>
        <w:rPr>
          <w:rFonts w:hint="eastAsia" w:ascii="微软雅黑" w:hAnsi="微软雅黑" w:eastAsia="微软雅黑" w:cs="微软雅黑"/>
          <w:vanish/>
          <w:color w:val="0000FF"/>
          <w:kern w:val="0"/>
          <w:sz w:val="24"/>
          <w:szCs w:val="24"/>
          <w:u w:val="none"/>
          <w:shd w:val="clear" w:fill="FFFFFF"/>
          <w:lang w:val="en-US" w:eastAsia="zh-CN" w:bidi="ar"/>
        </w:rPr>
        <w:fldChar w:fldCharType="separate"/>
      </w:r>
      <w:r>
        <w:rPr>
          <w:rStyle w:val="6"/>
          <w:rFonts w:hint="eastAsia" w:ascii="微软雅黑" w:hAnsi="微软雅黑" w:eastAsia="微软雅黑" w:cs="微软雅黑"/>
          <w:vanish/>
          <w:color w:val="0000FF"/>
          <w:sz w:val="24"/>
          <w:szCs w:val="24"/>
          <w:u w:val="none"/>
          <w:shd w:val="clear" w:fill="FFFFFF"/>
        </w:rPr>
        <w:t>国家税务总局办公厅</w:t>
      </w:r>
      <w:r>
        <w:rPr>
          <w:rFonts w:hint="eastAsia" w:ascii="微软雅黑" w:hAnsi="微软雅黑" w:eastAsia="微软雅黑" w:cs="微软雅黑"/>
          <w:vanish/>
          <w:color w:val="0000FF"/>
          <w:kern w:val="0"/>
          <w:sz w:val="24"/>
          <w:szCs w:val="24"/>
          <w:u w:val="none"/>
          <w:shd w:val="clear" w:fill="FFFFFF"/>
          <w:lang w:val="en-US" w:eastAsia="zh-CN" w:bidi="ar"/>
        </w:rPr>
        <w:fldChar w:fldCharType="end"/>
      </w:r>
      <w:r>
        <w:rPr>
          <w:rFonts w:hint="eastAsia" w:ascii="微软雅黑" w:hAnsi="微软雅黑" w:eastAsia="微软雅黑" w:cs="微软雅黑"/>
          <w:color w:val="0000FF"/>
          <w:kern w:val="0"/>
          <w:sz w:val="24"/>
          <w:szCs w:val="24"/>
          <w:shd w:val="clear" w:fill="FFFFFF"/>
          <w:lang w:val="en-US" w:eastAsia="zh-CN" w:bidi="ar"/>
        </w:rPr>
        <w:t xml:space="preserve"> </w:t>
      </w:r>
      <w:r>
        <w:rPr>
          <w:rFonts w:hint="eastAsia" w:ascii="微软雅黑" w:hAnsi="微软雅黑" w:eastAsia="微软雅黑" w:cs="微软雅黑"/>
          <w:vanish/>
          <w:color w:val="0000FF"/>
          <w:kern w:val="0"/>
          <w:sz w:val="24"/>
          <w:szCs w:val="24"/>
          <w:shd w:val="clear" w:fill="FFFFFF"/>
          <w:lang w:val="en-US" w:eastAsia="zh-CN" w:bidi="ar"/>
        </w:rPr>
        <w:t>国家税务总局办公厅</w:t>
      </w:r>
    </w:p>
    <w:p>
      <w:pPr>
        <w:pStyle w:val="2"/>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shd w:val="clear" w:fill="FFFFFF"/>
        </w:rPr>
        <w:t>为落实《中华人民共和国印花税法》（以下简称印花税法），进一步规范印花税征收管理、加强印花税纳税服务，推进税务系统“放管服”改革，根据税务总局关于开展“我为纳税人缴费人办实事暨便民办税春风行动”有关安排，税务总局制发《国家税务总局关于实施&lt;中华人民共和国印花税法&gt;等有关事项的公告》（以下简称《公告》）。现解读如下：</w:t>
      </w:r>
    </w:p>
    <w:p>
      <w:pPr>
        <w:pStyle w:val="2"/>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bCs/>
          <w:color w:val="333333"/>
          <w:sz w:val="24"/>
          <w:szCs w:val="24"/>
          <w:shd w:val="clear" w:fill="FFFFFF"/>
        </w:rPr>
        <w:t>一、为什么制发《公告》？</w:t>
      </w:r>
    </w:p>
    <w:p>
      <w:pPr>
        <w:pStyle w:val="2"/>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shd w:val="clear" w:fill="FFFFFF"/>
        </w:rPr>
        <w:t>2021年6月10日，印花税法经十三届全国人大常委会第二十九次会议表决通过，将于2022年7月1日起施行。为保障印花税法顺利实施，规范印花税征收管理工作，优化印花税纳税服务，税务总局制发《公告》。同时，为贯彻落实中办、国办印发的《关于进一步深化税收征管改革的意见》，深化税务领域“放管服”改革，《公告》还明确优化土地增值税优惠事项办理方式，进一步减轻纳税人办税负担。</w:t>
      </w:r>
    </w:p>
    <w:p>
      <w:pPr>
        <w:pStyle w:val="2"/>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bCs/>
          <w:color w:val="333333"/>
          <w:sz w:val="24"/>
          <w:szCs w:val="24"/>
          <w:shd w:val="clear" w:fill="FFFFFF"/>
        </w:rPr>
        <w:t>二、《公告》主要内容是什么？</w:t>
      </w:r>
    </w:p>
    <w:p>
      <w:pPr>
        <w:pStyle w:val="2"/>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shd w:val="clear" w:fill="FFFFFF"/>
        </w:rPr>
        <w:t>《公告》共两部分8条规定，对以下征管和纳税服务事项予以明确：</w:t>
      </w:r>
      <w:r>
        <w:rPr>
          <w:rFonts w:hint="eastAsia" w:ascii="微软雅黑" w:hAnsi="微软雅黑" w:eastAsia="微软雅黑" w:cs="微软雅黑"/>
          <w:b/>
          <w:bCs/>
          <w:color w:val="333333"/>
          <w:sz w:val="24"/>
          <w:szCs w:val="24"/>
          <w:shd w:val="clear" w:fill="FFFFFF"/>
        </w:rPr>
        <w:t>一是</w:t>
      </w:r>
      <w:r>
        <w:rPr>
          <w:rFonts w:hint="eastAsia" w:ascii="微软雅黑" w:hAnsi="微软雅黑" w:eastAsia="微软雅黑" w:cs="微软雅黑"/>
          <w:color w:val="333333"/>
          <w:sz w:val="24"/>
          <w:szCs w:val="24"/>
          <w:shd w:val="clear" w:fill="FFFFFF"/>
        </w:rPr>
        <w:t>明确印花税征收管理和纳税服务有关事项，包括对印花税据实申报的要求，特殊情况下申报操作的方式，纳税期限确定的原则，境外单位或者个人的代理人扣缴印花税以及其自行申报缴纳印花税的要求，享受印花税优惠政策办理方式，优化印花税纳税服务的要求；</w:t>
      </w:r>
      <w:r>
        <w:rPr>
          <w:rFonts w:hint="eastAsia" w:ascii="微软雅黑" w:hAnsi="微软雅黑" w:eastAsia="微软雅黑" w:cs="微软雅黑"/>
          <w:b/>
          <w:bCs/>
          <w:color w:val="333333"/>
          <w:sz w:val="24"/>
          <w:szCs w:val="24"/>
          <w:shd w:val="clear" w:fill="FFFFFF"/>
        </w:rPr>
        <w:t>二是</w:t>
      </w:r>
      <w:r>
        <w:rPr>
          <w:rFonts w:hint="eastAsia" w:ascii="微软雅黑" w:hAnsi="微软雅黑" w:eastAsia="微软雅黑" w:cs="微软雅黑"/>
          <w:color w:val="333333"/>
          <w:sz w:val="24"/>
          <w:szCs w:val="24"/>
          <w:shd w:val="clear" w:fill="FFFFFF"/>
        </w:rPr>
        <w:t>优化土地增值税优惠事项办理方式，明确土地增值税原备案类优惠事项办理程序等。</w:t>
      </w:r>
    </w:p>
    <w:p>
      <w:pPr>
        <w:pStyle w:val="2"/>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bCs/>
          <w:color w:val="333333"/>
          <w:sz w:val="24"/>
          <w:szCs w:val="24"/>
          <w:shd w:val="clear" w:fill="FFFFFF"/>
        </w:rPr>
        <w:t>三、如何填写《印花税税源明细表》进行申报？</w:t>
      </w:r>
    </w:p>
    <w:p>
      <w:pPr>
        <w:pStyle w:val="2"/>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shd w:val="clear" w:fill="FFFFFF"/>
        </w:rPr>
        <w:t>纳税人应当根据书立印花税应税合同、产权转移书据和营业账簿情况，填写《印花税税源明细表》，进行财产行为税综合申报。合同数量较多且属于同一税目的，可以合并汇总填写《印花税税源明细表》。</w:t>
      </w:r>
    </w:p>
    <w:p>
      <w:pPr>
        <w:pStyle w:val="2"/>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bCs/>
          <w:color w:val="333333"/>
          <w:sz w:val="24"/>
          <w:szCs w:val="24"/>
          <w:shd w:val="clear" w:fill="FFFFFF"/>
        </w:rPr>
        <w:t>举例说明1：</w:t>
      </w:r>
      <w:r>
        <w:rPr>
          <w:rFonts w:hint="eastAsia" w:ascii="微软雅黑" w:hAnsi="微软雅黑" w:eastAsia="微软雅黑" w:cs="微软雅黑"/>
          <w:color w:val="333333"/>
          <w:sz w:val="24"/>
          <w:szCs w:val="24"/>
          <w:shd w:val="clear" w:fill="FFFFFF"/>
        </w:rPr>
        <w:t>纳税人甲按季申报缴纳印花税，2022年第三季度书立买卖合同5份，合同所列价款（不包括列明的增值税税款）共计100万元，书立建筑工程合同1份，合同所列价款（不包括列明的增值税税款）共计1000万元，书立产权转移书据1份，合同所列价款（不包括列明的增值税税款）共计500万元。该纳税人应在书立应税合同、产权转移书据时，填写《印花税税源明细表》，在2022年10月纳税申报期，进行财产行为税综合申报，具体如下：</w:t>
      </w:r>
    </w:p>
    <w:p>
      <w:pPr>
        <w:pStyle w:val="2"/>
        <w:keepNext w:val="0"/>
        <w:keepLines w:val="0"/>
        <w:widowControl/>
        <w:suppressLineNumbers w:val="0"/>
        <w:spacing w:before="0" w:beforeAutospacing="0" w:after="0" w:afterAutospacing="0" w:line="540" w:lineRule="atLeast"/>
        <w:ind w:left="0" w:right="0"/>
        <w:jc w:val="cente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shd w:val="clear" w:fill="FFFFFF"/>
        </w:rPr>
        <w:drawing>
          <wp:inline distT="0" distB="0" distL="114300" distR="114300">
            <wp:extent cx="8517255" cy="4671695"/>
            <wp:effectExtent l="0" t="0" r="17145" b="14605"/>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4"/>
                    <a:stretch>
                      <a:fillRect/>
                    </a:stretch>
                  </pic:blipFill>
                  <pic:spPr>
                    <a:xfrm>
                      <a:off x="0" y="0"/>
                      <a:ext cx="8517255" cy="4671695"/>
                    </a:xfrm>
                    <a:prstGeom prst="rect">
                      <a:avLst/>
                    </a:prstGeom>
                    <a:noFill/>
                    <a:ln w="9525">
                      <a:noFill/>
                    </a:ln>
                  </pic:spPr>
                </pic:pic>
              </a:graphicData>
            </a:graphic>
          </wp:inline>
        </w:drawing>
      </w:r>
    </w:p>
    <w:p>
      <w:pPr>
        <w:pStyle w:val="2"/>
        <w:keepNext w:val="0"/>
        <w:keepLines w:val="0"/>
        <w:widowControl/>
        <w:suppressLineNumbers w:val="0"/>
        <w:spacing w:before="0" w:beforeAutospacing="0" w:after="0" w:afterAutospacing="0" w:line="540" w:lineRule="atLeast"/>
        <w:ind w:left="0" w:right="0"/>
        <w:jc w:val="cente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shd w:val="clear" w:fill="FFFFFF"/>
        </w:rPr>
        <w:drawing>
          <wp:inline distT="0" distB="0" distL="114300" distR="114300">
            <wp:extent cx="8162290" cy="2263775"/>
            <wp:effectExtent l="0" t="0" r="10160" b="3175"/>
            <wp:docPr id="1"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IMG_257"/>
                    <pic:cNvPicPr>
                      <a:picLocks noChangeAspect="1"/>
                    </pic:cNvPicPr>
                  </pic:nvPicPr>
                  <pic:blipFill>
                    <a:blip r:embed="rId5"/>
                    <a:stretch>
                      <a:fillRect/>
                    </a:stretch>
                  </pic:blipFill>
                  <pic:spPr>
                    <a:xfrm>
                      <a:off x="0" y="0"/>
                      <a:ext cx="8162290" cy="2263775"/>
                    </a:xfrm>
                    <a:prstGeom prst="rect">
                      <a:avLst/>
                    </a:prstGeom>
                    <a:noFill/>
                    <a:ln w="9525">
                      <a:noFill/>
                    </a:ln>
                  </pic:spPr>
                </pic:pic>
              </a:graphicData>
            </a:graphic>
          </wp:inline>
        </w:drawing>
      </w:r>
    </w:p>
    <w:p>
      <w:pPr>
        <w:pStyle w:val="2"/>
        <w:keepNext w:val="0"/>
        <w:keepLines w:val="0"/>
        <w:widowControl/>
        <w:suppressLineNumbers w:val="0"/>
        <w:spacing w:before="0" w:beforeAutospacing="0" w:after="0" w:afterAutospacing="0" w:line="540" w:lineRule="atLeast"/>
        <w:ind w:left="0" w:right="0"/>
        <w:jc w:val="center"/>
        <w:rPr>
          <w:rFonts w:hint="eastAsia" w:ascii="微软雅黑" w:hAnsi="微软雅黑" w:eastAsia="微软雅黑" w:cs="微软雅黑"/>
          <w:color w:val="333333"/>
          <w:sz w:val="24"/>
          <w:szCs w:val="24"/>
        </w:rPr>
      </w:pPr>
    </w:p>
    <w:p>
      <w:pPr>
        <w:pStyle w:val="2"/>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shd w:val="clear" w:fill="FFFFFF"/>
        </w:rPr>
        <w:t>纳税人甲2022年10月纳税申报期应缴纳印花税：</w:t>
      </w:r>
    </w:p>
    <w:p>
      <w:pPr>
        <w:pStyle w:val="2"/>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shd w:val="clear" w:fill="FFFFFF"/>
        </w:rPr>
        <w:t>100万元×0.3‰+1000万元×0.3‰+500万元×0.5‰=5800元</w:t>
      </w:r>
    </w:p>
    <w:p>
      <w:pPr>
        <w:pStyle w:val="2"/>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bCs/>
          <w:color w:val="333333"/>
          <w:sz w:val="24"/>
          <w:szCs w:val="24"/>
          <w:shd w:val="clear" w:fill="FFFFFF"/>
        </w:rPr>
        <w:t>举例说明2：</w:t>
      </w:r>
      <w:r>
        <w:rPr>
          <w:rFonts w:hint="eastAsia" w:ascii="微软雅黑" w:hAnsi="微软雅黑" w:eastAsia="微软雅黑" w:cs="微软雅黑"/>
          <w:color w:val="333333"/>
          <w:sz w:val="24"/>
          <w:szCs w:val="24"/>
          <w:shd w:val="clear" w:fill="FFFFFF"/>
        </w:rPr>
        <w:t>纳税人乙按季申报缴纳印花税，2022年第三季度书立财产保险合同100万份，合同所列保险费（不包括列明的增值税税款）共计100000万元。该纳税人应在书立应税合同时，填写《印花税税源明细表》，在2022年10月纳税申报期，进行财产行为税综合申报，具体如下：</w:t>
      </w:r>
    </w:p>
    <w:p>
      <w:pPr>
        <w:pStyle w:val="2"/>
        <w:keepNext w:val="0"/>
        <w:keepLines w:val="0"/>
        <w:widowControl/>
        <w:suppressLineNumbers w:val="0"/>
        <w:spacing w:before="0" w:beforeAutospacing="0" w:after="0" w:afterAutospacing="0" w:line="540" w:lineRule="atLeast"/>
        <w:ind w:left="0" w:right="0"/>
        <w:jc w:val="cente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shd w:val="clear" w:fill="FFFFFF"/>
        </w:rPr>
        <w:drawing>
          <wp:inline distT="0" distB="0" distL="114300" distR="114300">
            <wp:extent cx="9423400" cy="4264660"/>
            <wp:effectExtent l="0" t="0" r="6350" b="2540"/>
            <wp:docPr id="4"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IMG_258"/>
                    <pic:cNvPicPr>
                      <a:picLocks noChangeAspect="1"/>
                    </pic:cNvPicPr>
                  </pic:nvPicPr>
                  <pic:blipFill>
                    <a:blip r:embed="rId6"/>
                    <a:stretch>
                      <a:fillRect/>
                    </a:stretch>
                  </pic:blipFill>
                  <pic:spPr>
                    <a:xfrm>
                      <a:off x="0" y="0"/>
                      <a:ext cx="9423400" cy="4264660"/>
                    </a:xfrm>
                    <a:prstGeom prst="rect">
                      <a:avLst/>
                    </a:prstGeom>
                    <a:noFill/>
                    <a:ln w="9525">
                      <a:noFill/>
                    </a:ln>
                  </pic:spPr>
                </pic:pic>
              </a:graphicData>
            </a:graphic>
          </wp:inline>
        </w:drawing>
      </w:r>
    </w:p>
    <w:p>
      <w:pPr>
        <w:pStyle w:val="2"/>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shd w:val="clear" w:fill="FFFFFF"/>
        </w:rPr>
        <w:t>纳税人乙2022年10月纳税申报期应缴纳印花税：</w:t>
      </w:r>
    </w:p>
    <w:p>
      <w:pPr>
        <w:pStyle w:val="2"/>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shd w:val="clear" w:fill="FFFFFF"/>
        </w:rPr>
        <w:t>100000万元×1‰=100万元</w:t>
      </w:r>
    </w:p>
    <w:p>
      <w:pPr>
        <w:pStyle w:val="2"/>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bCs/>
          <w:color w:val="333333"/>
          <w:sz w:val="24"/>
          <w:szCs w:val="24"/>
          <w:shd w:val="clear" w:fill="FFFFFF"/>
        </w:rPr>
        <w:t>四、应税合同、产权转移书据未列明金额，在后续实际结算时确定金额的，纳税人如何进行印花税申报？</w:t>
      </w:r>
    </w:p>
    <w:p>
      <w:pPr>
        <w:pStyle w:val="2"/>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shd w:val="clear" w:fill="FFFFFF"/>
        </w:rPr>
        <w:t>经济活动中，纳税人书立合同、产权转移书据未列明金额，需要后续实际结算时才能确定金额的情况较为常见，纳税人应于书立应税合同、产权转移书据的首个纳税申报期申报应税合同、产权转移书据书立情况，在实际结算后下一个纳税申报期，以实际结算金额计算申报缴纳印花税。</w:t>
      </w:r>
    </w:p>
    <w:p>
      <w:pPr>
        <w:pStyle w:val="2"/>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bCs/>
          <w:color w:val="333333"/>
          <w:sz w:val="24"/>
          <w:szCs w:val="24"/>
          <w:shd w:val="clear" w:fill="FFFFFF"/>
        </w:rPr>
        <w:t>举例说明3：</w:t>
      </w:r>
      <w:r>
        <w:rPr>
          <w:rFonts w:hint="eastAsia" w:ascii="微软雅黑" w:hAnsi="微软雅黑" w:eastAsia="微软雅黑" w:cs="微软雅黑"/>
          <w:color w:val="333333"/>
          <w:sz w:val="24"/>
          <w:szCs w:val="24"/>
          <w:shd w:val="clear" w:fill="FFFFFF"/>
        </w:rPr>
        <w:t>纳税人丙按季申报缴纳印花税，2022年8月25日书立钢材买卖合同1份，合同列明了买卖钢材数量，并约定在实际交付钢材时，以交付当日市场报价确定成交价据以结算，2022年10月12日按合同结算买卖钢材价款100万元，2023年3月7日按合同结算买卖钢材价款300万元。该纳税人应在书立应税合同以及实际结算时，填写《印花税税源明细表》，分别在2022年10月、2023年1月、2023年4月纳税申报期，进行财产行为税综合申报，具体如下：</w:t>
      </w:r>
    </w:p>
    <w:p>
      <w:pPr>
        <w:pStyle w:val="2"/>
        <w:keepNext w:val="0"/>
        <w:keepLines w:val="0"/>
        <w:widowControl/>
        <w:suppressLineNumbers w:val="0"/>
        <w:spacing w:before="0" w:beforeAutospacing="0" w:after="0" w:afterAutospacing="0" w:line="540" w:lineRule="atLeast"/>
        <w:ind w:left="0" w:right="0"/>
        <w:jc w:val="cente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shd w:val="clear" w:fill="FFFFFF"/>
        </w:rPr>
        <w:drawing>
          <wp:inline distT="0" distB="0" distL="114300" distR="114300">
            <wp:extent cx="8849995" cy="3629660"/>
            <wp:effectExtent l="0" t="0" r="8255" b="8890"/>
            <wp:docPr id="5"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descr="IMG_259"/>
                    <pic:cNvPicPr>
                      <a:picLocks noChangeAspect="1"/>
                    </pic:cNvPicPr>
                  </pic:nvPicPr>
                  <pic:blipFill>
                    <a:blip r:embed="rId7"/>
                    <a:stretch>
                      <a:fillRect/>
                    </a:stretch>
                  </pic:blipFill>
                  <pic:spPr>
                    <a:xfrm>
                      <a:off x="0" y="0"/>
                      <a:ext cx="8849995" cy="3629660"/>
                    </a:xfrm>
                    <a:prstGeom prst="rect">
                      <a:avLst/>
                    </a:prstGeom>
                    <a:noFill/>
                    <a:ln w="9525">
                      <a:noFill/>
                    </a:ln>
                  </pic:spPr>
                </pic:pic>
              </a:graphicData>
            </a:graphic>
          </wp:inline>
        </w:drawing>
      </w:r>
    </w:p>
    <w:p>
      <w:pPr>
        <w:pStyle w:val="2"/>
        <w:keepNext w:val="0"/>
        <w:keepLines w:val="0"/>
        <w:widowControl/>
        <w:suppressLineNumbers w:val="0"/>
        <w:spacing w:before="0" w:beforeAutospacing="0" w:after="0" w:afterAutospacing="0" w:line="540" w:lineRule="atLeast"/>
        <w:ind w:left="0" w:right="0"/>
        <w:jc w:val="center"/>
        <w:rPr>
          <w:rFonts w:hint="eastAsia" w:ascii="微软雅黑" w:hAnsi="微软雅黑" w:eastAsia="微软雅黑" w:cs="微软雅黑"/>
          <w:color w:val="333333"/>
          <w:sz w:val="24"/>
          <w:szCs w:val="24"/>
        </w:rPr>
      </w:pPr>
    </w:p>
    <w:p>
      <w:pPr>
        <w:pStyle w:val="2"/>
        <w:keepNext w:val="0"/>
        <w:keepLines w:val="0"/>
        <w:widowControl/>
        <w:suppressLineNumbers w:val="0"/>
        <w:spacing w:before="0" w:beforeAutospacing="0" w:after="0" w:afterAutospacing="0" w:line="540" w:lineRule="atLeast"/>
        <w:ind w:left="0" w:right="0"/>
        <w:jc w:val="cente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shd w:val="clear" w:fill="FFFFFF"/>
        </w:rPr>
        <w:drawing>
          <wp:inline distT="0" distB="0" distL="114300" distR="114300">
            <wp:extent cx="9190990" cy="3999865"/>
            <wp:effectExtent l="0" t="0" r="10160" b="635"/>
            <wp:docPr id="3"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5" descr="IMG_260"/>
                    <pic:cNvPicPr>
                      <a:picLocks noChangeAspect="1"/>
                    </pic:cNvPicPr>
                  </pic:nvPicPr>
                  <pic:blipFill>
                    <a:blip r:embed="rId8"/>
                    <a:stretch>
                      <a:fillRect/>
                    </a:stretch>
                  </pic:blipFill>
                  <pic:spPr>
                    <a:xfrm>
                      <a:off x="0" y="0"/>
                      <a:ext cx="9190990" cy="3999865"/>
                    </a:xfrm>
                    <a:prstGeom prst="rect">
                      <a:avLst/>
                    </a:prstGeom>
                    <a:noFill/>
                    <a:ln w="9525">
                      <a:noFill/>
                    </a:ln>
                  </pic:spPr>
                </pic:pic>
              </a:graphicData>
            </a:graphic>
          </wp:inline>
        </w:drawing>
      </w:r>
    </w:p>
    <w:p>
      <w:pPr>
        <w:pStyle w:val="2"/>
        <w:keepNext w:val="0"/>
        <w:keepLines w:val="0"/>
        <w:widowControl/>
        <w:suppressLineNumbers w:val="0"/>
        <w:spacing w:before="0" w:beforeAutospacing="0" w:after="0" w:afterAutospacing="0" w:line="540" w:lineRule="atLeast"/>
        <w:ind w:left="0" w:right="0"/>
        <w:jc w:val="cente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shd w:val="clear" w:fill="FFFFFF"/>
        </w:rPr>
        <w:drawing>
          <wp:inline distT="0" distB="0" distL="114300" distR="114300">
            <wp:extent cx="9381490" cy="4258945"/>
            <wp:effectExtent l="0" t="0" r="10160" b="8255"/>
            <wp:docPr id="6" name="图片 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IMG_261"/>
                    <pic:cNvPicPr>
                      <a:picLocks noChangeAspect="1"/>
                    </pic:cNvPicPr>
                  </pic:nvPicPr>
                  <pic:blipFill>
                    <a:blip r:embed="rId9"/>
                    <a:stretch>
                      <a:fillRect/>
                    </a:stretch>
                  </pic:blipFill>
                  <pic:spPr>
                    <a:xfrm>
                      <a:off x="0" y="0"/>
                      <a:ext cx="9381490" cy="4258945"/>
                    </a:xfrm>
                    <a:prstGeom prst="rect">
                      <a:avLst/>
                    </a:prstGeom>
                    <a:noFill/>
                    <a:ln w="9525">
                      <a:noFill/>
                    </a:ln>
                  </pic:spPr>
                </pic:pic>
              </a:graphicData>
            </a:graphic>
          </wp:inline>
        </w:drawing>
      </w:r>
    </w:p>
    <w:p>
      <w:pPr>
        <w:pStyle w:val="2"/>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shd w:val="clear" w:fill="FFFFFF"/>
        </w:rPr>
        <w:t>纳税人丙2022年10月纳税申报期应缴纳印花税：</w:t>
      </w:r>
    </w:p>
    <w:p>
      <w:pPr>
        <w:pStyle w:val="2"/>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shd w:val="clear" w:fill="FFFFFF"/>
        </w:rPr>
        <w:t>0元×0.3‰=0元</w:t>
      </w:r>
    </w:p>
    <w:p>
      <w:pPr>
        <w:pStyle w:val="2"/>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shd w:val="clear" w:fill="FFFFFF"/>
        </w:rPr>
        <w:t>纳税人丙2023年1月纳税申报期应缴纳印花税：</w:t>
      </w:r>
    </w:p>
    <w:p>
      <w:pPr>
        <w:pStyle w:val="2"/>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shd w:val="clear" w:fill="FFFFFF"/>
        </w:rPr>
        <w:t>1000000元×0.3‰=300元</w:t>
      </w:r>
    </w:p>
    <w:p>
      <w:pPr>
        <w:pStyle w:val="2"/>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shd w:val="clear" w:fill="FFFFFF"/>
        </w:rPr>
        <w:t>纳税人丙2023年4月纳税申报期应缴纳印花税：</w:t>
      </w:r>
    </w:p>
    <w:p>
      <w:pPr>
        <w:pStyle w:val="2"/>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shd w:val="clear" w:fill="FFFFFF"/>
        </w:rPr>
        <w:t>3000000元×0.3‰=900元</w:t>
      </w:r>
    </w:p>
    <w:p>
      <w:pPr>
        <w:pStyle w:val="2"/>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bCs/>
          <w:color w:val="333333"/>
          <w:sz w:val="24"/>
          <w:szCs w:val="24"/>
          <w:shd w:val="clear" w:fill="FFFFFF"/>
        </w:rPr>
        <w:t>五、印花税具体的纳税期限是怎么规定的？</w:t>
      </w:r>
    </w:p>
    <w:p>
      <w:pPr>
        <w:pStyle w:val="2"/>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shd w:val="clear" w:fill="FFFFFF"/>
        </w:rPr>
        <w:t>印花税按季、按年或者按次计征。应税合同、产权转移书据印花税可以按季或者按次申报缴纳，应税营业账簿印花税可以按年或者按次申报缴纳，具体纳税期限由各省、自治区、直辖市、计划单列市税务局结合征管实际确定。</w:t>
      </w:r>
    </w:p>
    <w:p>
      <w:pPr>
        <w:pStyle w:val="2"/>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shd w:val="clear" w:fill="FFFFFF"/>
        </w:rPr>
        <w:t>考虑便利境外单位和个人缴纳印花税，境外单位或者个人的应税凭证印花税可以按季、按年或者按次申报缴纳，具体纳税期限由各省、自治区、直辖市、计划单列市税务局结合征管实际确定。</w:t>
      </w:r>
    </w:p>
    <w:p>
      <w:pPr>
        <w:pStyle w:val="2"/>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bCs/>
          <w:color w:val="333333"/>
          <w:sz w:val="24"/>
          <w:szCs w:val="24"/>
          <w:shd w:val="clear" w:fill="FFFFFF"/>
        </w:rPr>
        <w:t>六、境外单位或者个人如何缴纳印花税？</w:t>
      </w:r>
    </w:p>
    <w:p>
      <w:pPr>
        <w:pStyle w:val="2"/>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shd w:val="clear" w:fill="FFFFFF"/>
        </w:rPr>
        <w:t>纳税人为境外单位或者个人的，在境内有代理人的，以其境内代理人为扣缴义务人。境外单位或者个人的境内代理人应当按规定扣缴印花税并向主管税务机关报告扣缴情况。</w:t>
      </w:r>
    </w:p>
    <w:p>
      <w:pPr>
        <w:pStyle w:val="2"/>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shd w:val="clear" w:fill="FFFFFF"/>
        </w:rPr>
        <w:t>纳税人为境外单位或者个人，在境内没有代理人的，纳税人应当自行申报缴纳印花税。为便利纳税人，根据应税凭证标的物不同，境外单位或者个人可以向资产交付地、境内服务提供方或者接受方所在地（居住地）、书立应税凭证境内书立人所在地（居住地）主管税务机关申报缴纳；涉及不动产产权转移的，应当向不动产所在地主管税务机关申报缴纳。</w:t>
      </w:r>
    </w:p>
    <w:p>
      <w:pPr>
        <w:pStyle w:val="2"/>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bCs/>
          <w:color w:val="333333"/>
          <w:sz w:val="24"/>
          <w:szCs w:val="24"/>
          <w:shd w:val="clear" w:fill="FFFFFF"/>
        </w:rPr>
        <w:t>七、纳税人享受印花税优惠，如何办理？</w:t>
      </w:r>
    </w:p>
    <w:p>
      <w:pPr>
        <w:pStyle w:val="2"/>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shd w:val="clear" w:fill="FFFFFF"/>
        </w:rPr>
        <w:t>纳税人享受印花税优惠办理方式，与现行规定一致，实行“自行判别、申报享受、有关资料留存备查”，保障纳税人及时享受印花税政策红利。同时，《公告》明确纳税人应当对印花税优惠事项留存备查资料的真实性、完整性和合法性承担法律责任。</w:t>
      </w:r>
    </w:p>
    <w:p>
      <w:pPr>
        <w:pStyle w:val="2"/>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bCs/>
          <w:color w:val="333333"/>
          <w:sz w:val="24"/>
          <w:szCs w:val="24"/>
          <w:shd w:val="clear" w:fill="FFFFFF"/>
        </w:rPr>
        <w:t>八、《公告》对优化土地增值税优惠事项办理方式作出了怎样的新的规定？</w:t>
      </w:r>
    </w:p>
    <w:p>
      <w:pPr>
        <w:pStyle w:val="2"/>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shd w:val="clear" w:fill="FFFFFF"/>
        </w:rPr>
        <w:t>《公告》实施后，土地增值税优惠事项办理流程进一步优化，备案类优惠事项改为实行纳税人“自行判别、申报享受、有关资料留存备查”。纳税人办理原备案类优惠事项时，此前需要提供的不动产权属资料复印件、房地产转让合同（协议）复印件、扣除项目金额相关材料（如评估报告、发票）等有关资料，改为留存备查，纳税人只需填报申报表相应减免税栏次即可享受相关优惠。</w:t>
      </w:r>
    </w:p>
    <w:p>
      <w:pPr>
        <w:pStyle w:val="2"/>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shd w:val="clear" w:fill="FFFFFF"/>
        </w:rPr>
        <w:t>同时，《公告》明确纳税人要对留存备查资料的真实性、完整性和合法性承担法律责任。</w:t>
      </w:r>
    </w:p>
    <w:p>
      <w:pPr>
        <w:pStyle w:val="2"/>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bCs/>
          <w:color w:val="333333"/>
          <w:sz w:val="24"/>
          <w:szCs w:val="24"/>
          <w:shd w:val="clear" w:fill="FFFFFF"/>
        </w:rPr>
        <w:t>九、《公告》从何时起施行？</w:t>
      </w:r>
    </w:p>
    <w:p>
      <w:pPr>
        <w:pStyle w:val="2"/>
        <w:keepNext w:val="0"/>
        <w:keepLines w:val="0"/>
        <w:widowControl/>
        <w:suppressLineNumbers w:val="0"/>
        <w:spacing w:before="0" w:beforeAutospacing="0" w:after="0" w:afterAutospacing="0" w:line="540" w:lineRule="atLeast"/>
        <w:ind w:left="0" w:right="0" w:firstLine="420"/>
        <w:jc w:val="both"/>
      </w:pPr>
      <w:r>
        <w:rPr>
          <w:rFonts w:hint="eastAsia" w:ascii="微软雅黑" w:hAnsi="微软雅黑" w:eastAsia="微软雅黑" w:cs="微软雅黑"/>
          <w:color w:val="333333"/>
          <w:sz w:val="24"/>
          <w:szCs w:val="24"/>
          <w:shd w:val="clear" w:fill="FFFFFF"/>
        </w:rPr>
        <w:t>《公告》自2022年7月1日起施行。</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fpicons">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Y0MGNkMTU3OWQzNDA3NjVmODJmMjIxMTIxOTBhNjUifQ=="/>
  </w:docVars>
  <w:rsids>
    <w:rsidRoot w:val="4DB5488D"/>
    <w:rsid w:val="4DB548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5">
    <w:name w:val="FollowedHyperlink"/>
    <w:basedOn w:val="4"/>
    <w:uiPriority w:val="0"/>
    <w:rPr>
      <w:color w:val="333333"/>
      <w:u w:val="none"/>
    </w:rPr>
  </w:style>
  <w:style w:type="character" w:styleId="6">
    <w:name w:val="Hyperlink"/>
    <w:basedOn w:val="4"/>
    <w:uiPriority w:val="0"/>
    <w:rPr>
      <w:color w:val="333333"/>
      <w:u w:val="none"/>
    </w:rPr>
  </w:style>
  <w:style w:type="character" w:customStyle="1" w:styleId="7">
    <w:name w:val="hao12"/>
    <w:basedOn w:val="4"/>
    <w:uiPriority w:val="0"/>
    <w:rPr>
      <w:b/>
      <w:bCs/>
    </w:rPr>
  </w:style>
  <w:style w:type="character" w:customStyle="1" w:styleId="8">
    <w:name w:val="wz"/>
    <w:basedOn w:val="4"/>
    <w:uiPriority w:val="0"/>
    <w:rPr>
      <w:vanish/>
      <w:color w:val="808080"/>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2022-07-01T02:21:00Z</dcterms:created>
  <dc:creator>www.shuiwu114.com</dc:creator>
  <cp:lastModifiedBy>www.shuiwu114.com</cp:lastModifiedBy>
  <dcterms:modified xsi:type="dcterms:W3CDTF">2022-07-01T02:24:16Z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75BA5D2A123B411DB9B226633944B68B</vt:lpwstr>
  </property>
</Properties>
</file>