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CE976">
      <w:pPr>
        <w:pStyle w:val="7"/>
        <w:rPr>
          <w:rFonts w:hint="eastAsia" w:ascii="宋体" w:hAnsi="宋体" w:eastAsia="宋体" w:cs="宋体"/>
          <w:color w:val="auto"/>
          <w:sz w:val="28"/>
          <w:szCs w:val="28"/>
          <w:lang w:eastAsia="zh-CN"/>
        </w:rPr>
      </w:pPr>
      <w:bookmarkStart w:id="7" w:name="_GoBack"/>
      <w:bookmarkStart w:id="0" w:name="_Toc340"/>
      <w:bookmarkStart w:id="1" w:name="_Toc2104880965"/>
      <w:bookmarkStart w:id="2" w:name="_Toc176972040"/>
      <w:r>
        <w:rPr>
          <w:rFonts w:hint="eastAsia" w:ascii="宋体" w:hAnsi="宋体" w:eastAsia="宋体" w:cs="宋体"/>
          <w:color w:val="auto"/>
          <w:sz w:val="28"/>
          <w:szCs w:val="28"/>
        </w:rPr>
        <w:t>3-2-3-2《企业所得税年度纳税申报表填报表单》</w:t>
      </w:r>
      <w:bookmarkEnd w:id="0"/>
      <w:bookmarkEnd w:id="1"/>
      <w:bookmarkEnd w:id="2"/>
      <w:r>
        <w:rPr>
          <w:rFonts w:hint="eastAsia" w:eastAsia="宋体" w:cs="宋体"/>
          <w:color w:val="auto"/>
          <w:sz w:val="28"/>
          <w:szCs w:val="28"/>
          <w:lang w:eastAsia="zh-CN"/>
        </w:rPr>
        <w:t>（</w:t>
      </w:r>
      <w:r>
        <w:rPr>
          <w:rFonts w:hint="eastAsia" w:eastAsia="宋体" w:cs="宋体"/>
          <w:color w:val="auto"/>
          <w:sz w:val="28"/>
          <w:szCs w:val="28"/>
          <w:lang w:val="en-US" w:eastAsia="zh-CN"/>
        </w:rPr>
        <w:t>2024</w:t>
      </w:r>
      <w:r>
        <w:rPr>
          <w:rFonts w:hint="eastAsia" w:eastAsia="宋体" w:cs="宋体"/>
          <w:color w:val="auto"/>
          <w:sz w:val="28"/>
          <w:szCs w:val="28"/>
          <w:lang w:eastAsia="zh-CN"/>
        </w:rPr>
        <w:t>）</w:t>
      </w:r>
      <w:bookmarkEnd w:id="7"/>
    </w:p>
    <w:tbl>
      <w:tblPr>
        <w:tblStyle w:val="4"/>
        <w:tblpPr w:leftFromText="180" w:rightFromText="180" w:vertAnchor="page" w:horzAnchor="margin" w:tblpXSpec="center" w:tblpY="2668"/>
        <w:tblW w:w="96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9"/>
        <w:gridCol w:w="6934"/>
        <w:gridCol w:w="1680"/>
      </w:tblGrid>
      <w:tr w14:paraId="58B37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049" w:type="dxa"/>
            <w:tcBorders>
              <w:top w:val="single" w:color="auto" w:sz="12" w:space="0"/>
              <w:left w:val="single" w:color="auto" w:sz="12" w:space="0"/>
              <w:bottom w:val="single" w:color="auto" w:sz="6" w:space="0"/>
              <w:right w:val="single" w:color="auto" w:sz="6" w:space="0"/>
            </w:tcBorders>
            <w:noWrap w:val="0"/>
            <w:vAlign w:val="center"/>
          </w:tcPr>
          <w:p w14:paraId="233D7215">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表单编号</w:t>
            </w:r>
          </w:p>
        </w:tc>
        <w:tc>
          <w:tcPr>
            <w:tcW w:w="6934" w:type="dxa"/>
            <w:tcBorders>
              <w:top w:val="single" w:color="auto" w:sz="12" w:space="0"/>
              <w:left w:val="single" w:color="auto" w:sz="6" w:space="0"/>
              <w:bottom w:val="single" w:color="auto" w:sz="6" w:space="0"/>
              <w:right w:val="single" w:color="auto" w:sz="6" w:space="0"/>
            </w:tcBorders>
            <w:noWrap w:val="0"/>
            <w:vAlign w:val="center"/>
          </w:tcPr>
          <w:p w14:paraId="609841BB">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表单名称</w:t>
            </w:r>
          </w:p>
        </w:tc>
        <w:tc>
          <w:tcPr>
            <w:tcW w:w="1680" w:type="dxa"/>
            <w:tcBorders>
              <w:top w:val="single" w:color="auto" w:sz="12" w:space="0"/>
              <w:left w:val="single" w:color="auto" w:sz="6" w:space="0"/>
              <w:bottom w:val="single" w:color="auto" w:sz="6" w:space="0"/>
              <w:right w:val="single" w:color="auto" w:sz="12" w:space="0"/>
            </w:tcBorders>
            <w:noWrap w:val="0"/>
            <w:vAlign w:val="center"/>
          </w:tcPr>
          <w:p w14:paraId="10A5C157">
            <w:pPr>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是否填报</w:t>
            </w:r>
          </w:p>
        </w:tc>
      </w:tr>
      <w:tr w14:paraId="51B2B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5030972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A000000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77BEBC8F">
            <w:pPr>
              <w:widowControl/>
              <w:rPr>
                <w:rFonts w:hint="eastAsia" w:ascii="宋体" w:hAnsi="宋体" w:cs="宋体"/>
                <w:color w:val="auto"/>
                <w:kern w:val="0"/>
                <w:sz w:val="20"/>
                <w:szCs w:val="20"/>
              </w:rPr>
            </w:pPr>
            <w:r>
              <w:rPr>
                <w:rFonts w:hint="eastAsia" w:ascii="宋体" w:hAnsi="宋体" w:cs="宋体"/>
                <w:color w:val="auto"/>
                <w:kern w:val="0"/>
                <w:sz w:val="20"/>
                <w:szCs w:val="20"/>
              </w:rPr>
              <w:t>企业所得税年度纳税申报基础信息表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297799D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76F94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5BF5AD8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A100000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48507BCF">
            <w:pPr>
              <w:widowControl/>
              <w:rPr>
                <w:rFonts w:hint="eastAsia" w:ascii="宋体" w:hAnsi="宋体" w:cs="宋体"/>
                <w:color w:val="auto"/>
                <w:kern w:val="0"/>
                <w:sz w:val="20"/>
                <w:szCs w:val="20"/>
              </w:rPr>
            </w:pPr>
            <w:r>
              <w:rPr>
                <w:rFonts w:hint="eastAsia" w:ascii="宋体" w:hAnsi="宋体" w:cs="宋体"/>
                <w:color w:val="auto"/>
                <w:kern w:val="0"/>
                <w:sz w:val="20"/>
                <w:szCs w:val="20"/>
              </w:rPr>
              <w:t>企业所得税年度纳税申报</w:t>
            </w:r>
            <w:r>
              <w:rPr>
                <w:rFonts w:hint="eastAsia" w:ascii="宋体" w:hAnsi="宋体" w:cs="宋体"/>
                <w:color w:val="auto"/>
                <w:kern w:val="0"/>
                <w:sz w:val="20"/>
                <w:szCs w:val="20"/>
                <w:lang w:val="en-US" w:eastAsia="zh-CN"/>
              </w:rPr>
              <w:t>主</w:t>
            </w:r>
            <w:r>
              <w:rPr>
                <w:rFonts w:hint="eastAsia" w:ascii="宋体" w:hAnsi="宋体" w:cs="宋体"/>
                <w:color w:val="auto"/>
                <w:kern w:val="0"/>
                <w:sz w:val="20"/>
                <w:szCs w:val="20"/>
              </w:rPr>
              <w:t>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0D06641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41E7B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44CE02B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A101010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77EA6016">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一般企业收入明细表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0187457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2E226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750188B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A101020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6224683F">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金融企业收入明细表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4031674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5B5E0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5C33E18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A102010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29823C6B">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一般企业成本支出明细表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1F4A99B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4F53B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472D983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A102020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7E7C7322">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金融企业支出明细表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45149F7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63678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0A49A81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A103000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6E96937E">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事业单位、民间非营利组织收入、支出明细表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0BF81CD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4D80C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0DEA3DD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A104000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41155C56">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期间费用明细表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0359483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231FE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50F7D0E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A105000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602C525A">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纳税调整项目明细表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77A248D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6559F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5453F18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A105010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0A2A73E8">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视同销售和房地产开发企业特定业务纳税调整明细表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4E83ABF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7F0F2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7A85B9D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A105020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787C0001">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未按权责发生制确认收入纳税调整明细表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16F4884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51F7F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72971F1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A105030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6A7B0FF9">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投资收益纳税调整明细表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7524E99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05C7A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6C0479C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A105040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1B79BA3A">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专项用途财政性资金纳税调整明细表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625669D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7EE0C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35E8099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A105050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576059AA">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职工薪酬支出及纳税调整明细表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1AE65E6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6DB05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0B7BA66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A105060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56C287B0">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广告费和业务宣传费等跨年度纳税调整明细表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422C494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333F7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0453DA0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A105070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7DDD4B9B">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捐赠支出及纳税调整明细表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7EB29C5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50AC5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066D01F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A105080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472F49AA">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资产折旧、摊销及纳税调整明细表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3101697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79011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3DDC888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A105090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003AB741">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资产损失税前扣除及纳税调整明细表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7741322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6478A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10D8DC5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A105100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42BE99B7">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企业重组及递延纳税事项纳税调整明细表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51C2B11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43DC5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0AF1DA8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A105110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4B0344A9">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政策性搬迁纳税调整明细表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75874F6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227E4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77975B7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A105120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59F2999C">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贷款损失准备金及纳税调整明细表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58E1E3B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3338C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3D76CC1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A106000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2EE7CE76">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企业所得税弥补亏损明细表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5BE69C3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6481D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76717E0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A107011</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329325F0">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符合条件的居民企业之间的股息、红利等权益性投资收益优惠明细表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00D852E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40237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7120D83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A107012</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1B3BAEEA">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研发费用加计扣除优惠明细表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12F7E14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2DBF7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57876DE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A107020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7E40098C">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所得减免优惠明细表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5EECEB9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4AAA3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23D477B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A107030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6769C3A8">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抵扣应纳税所得额明细表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6B0954C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75F89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3BF2EA8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A107041</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45373CD5">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高新技术企业优惠情况及明细表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1B326CE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042A0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563D259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A107042</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1DEAEDB8">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软件、集成电路企业优惠情况及明细表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0AF5360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74A42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2201AC4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A107050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5FD17B8C">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税额抵免优惠明细表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271D2C1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1EE30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63E4E52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A108000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235A8D2D">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境外所得税收抵免明细表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0000063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64E71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2BB1F77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A108010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1E0B085A">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境外所得纳税调整后所得明细表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13676F6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69401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40BAF4C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A108020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08DB37E2">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境外分支机构弥补亏损明细表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28D9893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406D8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4CFF311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A108030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0B7534EE">
            <w:pPr>
              <w:widowControl/>
              <w:ind w:firstLine="800" w:firstLineChars="400"/>
              <w:rPr>
                <w:rFonts w:hint="eastAsia" w:ascii="宋体" w:hAnsi="宋体" w:cs="宋体"/>
                <w:color w:val="auto"/>
                <w:kern w:val="0"/>
                <w:sz w:val="20"/>
                <w:szCs w:val="20"/>
              </w:rPr>
            </w:pPr>
            <w:r>
              <w:rPr>
                <w:rFonts w:hint="eastAsia" w:ascii="宋体" w:hAnsi="宋体" w:cs="宋体"/>
                <w:color w:val="auto"/>
                <w:kern w:val="0"/>
                <w:sz w:val="20"/>
                <w:szCs w:val="20"/>
              </w:rPr>
              <w:t>跨年度结转抵免境外所得税明细表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79714A8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252E8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046E763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A109000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68BAAC8D">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跨地区经营汇总纳税企业年度分摊企业所得税明细表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42AB240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46D58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tcBorders>
              <w:top w:val="single" w:color="auto" w:sz="6" w:space="0"/>
              <w:left w:val="single" w:color="auto" w:sz="12" w:space="0"/>
              <w:bottom w:val="single" w:color="auto" w:sz="6" w:space="0"/>
              <w:right w:val="single" w:color="auto" w:sz="6" w:space="0"/>
            </w:tcBorders>
            <w:noWrap w:val="0"/>
            <w:vAlign w:val="center"/>
          </w:tcPr>
          <w:p w14:paraId="6F5DF7B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A109010</w:t>
            </w:r>
          </w:p>
        </w:tc>
        <w:tc>
          <w:tcPr>
            <w:tcW w:w="6934" w:type="dxa"/>
            <w:tcBorders>
              <w:top w:val="single" w:color="auto" w:sz="6" w:space="0"/>
              <w:left w:val="single" w:color="auto" w:sz="6" w:space="0"/>
              <w:bottom w:val="single" w:color="auto" w:sz="6" w:space="0"/>
              <w:right w:val="single" w:color="auto" w:sz="6" w:space="0"/>
            </w:tcBorders>
            <w:noWrap w:val="0"/>
            <w:vAlign w:val="center"/>
          </w:tcPr>
          <w:p w14:paraId="2FBDC6C0">
            <w:pPr>
              <w:widowControl/>
              <w:ind w:firstLine="800" w:firstLineChars="400"/>
              <w:jc w:val="left"/>
              <w:rPr>
                <w:rFonts w:hint="eastAsia" w:ascii="宋体" w:hAnsi="宋体" w:cs="宋体"/>
                <w:color w:val="auto"/>
                <w:kern w:val="0"/>
                <w:sz w:val="20"/>
                <w:szCs w:val="20"/>
              </w:rPr>
            </w:pPr>
            <w:r>
              <w:rPr>
                <w:rFonts w:hint="eastAsia" w:ascii="宋体" w:hAnsi="宋体" w:cs="宋体"/>
                <w:color w:val="auto"/>
                <w:kern w:val="0"/>
                <w:sz w:val="20"/>
                <w:szCs w:val="20"/>
              </w:rPr>
              <w:t>企业所得税汇总纳税分支机构所得税分配表</w:t>
            </w:r>
          </w:p>
        </w:tc>
        <w:tc>
          <w:tcPr>
            <w:tcW w:w="1680" w:type="dxa"/>
            <w:tcBorders>
              <w:top w:val="single" w:color="auto" w:sz="6" w:space="0"/>
              <w:left w:val="single" w:color="auto" w:sz="6" w:space="0"/>
              <w:bottom w:val="single" w:color="auto" w:sz="6" w:space="0"/>
              <w:right w:val="single" w:color="auto" w:sz="12" w:space="0"/>
            </w:tcBorders>
            <w:noWrap w:val="0"/>
            <w:vAlign w:val="center"/>
          </w:tcPr>
          <w:p w14:paraId="4642452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5FA2C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9663" w:type="dxa"/>
            <w:gridSpan w:val="3"/>
            <w:tcBorders>
              <w:top w:val="single" w:color="auto" w:sz="6" w:space="0"/>
              <w:left w:val="single" w:color="auto" w:sz="12" w:space="0"/>
              <w:bottom w:val="single" w:color="auto" w:sz="12" w:space="0"/>
              <w:right w:val="single" w:color="auto" w:sz="12" w:space="0"/>
            </w:tcBorders>
            <w:noWrap w:val="0"/>
            <w:vAlign w:val="center"/>
          </w:tcPr>
          <w:p w14:paraId="00DFDCA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说明：企业应当根据实际情况选择需要填报的表单。</w:t>
            </w:r>
          </w:p>
        </w:tc>
      </w:tr>
    </w:tbl>
    <w:p w14:paraId="1022F411">
      <w:pPr>
        <w:pStyle w:val="7"/>
        <w:rPr>
          <w:rFonts w:hint="eastAsia"/>
          <w:color w:val="auto"/>
        </w:rPr>
        <w:sectPr>
          <w:footerReference r:id="rId3" w:type="default"/>
          <w:footerReference r:id="rId4" w:type="even"/>
          <w:pgSz w:w="11906" w:h="16838"/>
          <w:pgMar w:top="1985" w:right="1418" w:bottom="1928" w:left="1418" w:header="624" w:footer="794" w:gutter="113"/>
          <w:pgNumType w:fmt="decimal" w:start="1"/>
          <w:cols w:space="720" w:num="1"/>
          <w:docGrid w:linePitch="312" w:charSpace="0"/>
        </w:sectPr>
      </w:pPr>
      <w:bookmarkStart w:id="3" w:name="_Toc24623693"/>
    </w:p>
    <w:p w14:paraId="789D4725">
      <w:pPr>
        <w:pStyle w:val="7"/>
        <w:rPr>
          <w:rFonts w:hint="eastAsia"/>
          <w:color w:val="auto"/>
        </w:rPr>
      </w:pPr>
      <w:bookmarkStart w:id="4" w:name="_Toc997585336"/>
      <w:bookmarkStart w:id="5" w:name="_Toc176972041"/>
      <w:bookmarkStart w:id="6" w:name="_Toc17992"/>
      <w:r>
        <w:rPr>
          <w:rFonts w:hint="eastAsia"/>
          <w:color w:val="auto"/>
        </w:rPr>
        <w:t>《企业所得税年度纳税申报表填报表单》填报说明</w:t>
      </w:r>
      <w:bookmarkEnd w:id="3"/>
      <w:bookmarkEnd w:id="4"/>
      <w:bookmarkEnd w:id="5"/>
      <w:bookmarkEnd w:id="6"/>
    </w:p>
    <w:p w14:paraId="796E14C5">
      <w:pPr>
        <w:pStyle w:val="8"/>
        <w:ind w:firstLine="480"/>
        <w:rPr>
          <w:rFonts w:hint="eastAsia" w:cs="宋体"/>
          <w:color w:val="auto"/>
        </w:rPr>
      </w:pPr>
      <w:r>
        <w:rPr>
          <w:rFonts w:hint="eastAsia" w:cs="宋体"/>
          <w:color w:val="auto"/>
        </w:rPr>
        <w:t>本表列示申报表全部表单名称及编号。纳税人在填报申报表之前，请仔细阅读这些表单的填报信息，并根据企业的涉税业务，选择“是否填报”。选择“填报”的，在“□”内打“</w:t>
      </w:r>
      <w:r>
        <w:rPr>
          <w:rFonts w:hint="eastAsia" w:cs="宋体"/>
          <w:color w:val="auto"/>
          <w:kern w:val="0"/>
          <w:sz w:val="20"/>
          <w:szCs w:val="20"/>
        </w:rPr>
        <w:t>√”</w:t>
      </w:r>
      <w:r>
        <w:rPr>
          <w:rFonts w:hint="eastAsia" w:cs="宋体"/>
          <w:color w:val="auto"/>
        </w:rPr>
        <w:t>，并完成该表单内容的填报。未选择“填报”的表单，无需向税务机关报送。各表单有关情况如下：</w:t>
      </w:r>
    </w:p>
    <w:p w14:paraId="04F57069">
      <w:pPr>
        <w:pStyle w:val="8"/>
        <w:ind w:firstLine="480"/>
        <w:rPr>
          <w:rFonts w:hint="eastAsia" w:cs="宋体"/>
          <w:color w:val="auto"/>
        </w:rPr>
      </w:pPr>
      <w:r>
        <w:rPr>
          <w:rFonts w:hint="eastAsia" w:cs="宋体"/>
          <w:color w:val="auto"/>
        </w:rPr>
        <w:t>1.《企业所得税年度纳税申报基础信息表》（A000000）</w:t>
      </w:r>
    </w:p>
    <w:p w14:paraId="0EF1DBE7">
      <w:pPr>
        <w:pStyle w:val="8"/>
        <w:ind w:firstLine="480"/>
        <w:rPr>
          <w:rFonts w:hint="eastAsia" w:cs="宋体"/>
          <w:color w:val="auto"/>
        </w:rPr>
      </w:pPr>
      <w:r>
        <w:rPr>
          <w:rFonts w:hint="eastAsia" w:cs="宋体"/>
          <w:color w:val="auto"/>
        </w:rPr>
        <w:t>本表为必填表，填报内容包括基本经营情况、有关涉税事项情况、主要股东及分红情况三部分。纳税人填报申报表时，首先填报此表，为后续申报提供指引。</w:t>
      </w:r>
    </w:p>
    <w:p w14:paraId="098FD750">
      <w:pPr>
        <w:pStyle w:val="8"/>
        <w:ind w:firstLine="480"/>
        <w:rPr>
          <w:rFonts w:hint="eastAsia" w:cs="宋体"/>
          <w:color w:val="auto"/>
        </w:rPr>
      </w:pPr>
      <w:r>
        <w:rPr>
          <w:rFonts w:hint="eastAsia" w:cs="宋体"/>
          <w:color w:val="auto"/>
        </w:rPr>
        <w:t>2.《企业所得税年度纳税申报</w:t>
      </w:r>
      <w:r>
        <w:rPr>
          <w:rFonts w:hint="eastAsia" w:cs="宋体"/>
          <w:color w:val="auto"/>
          <w:lang w:val="en-US" w:eastAsia="zh-CN"/>
        </w:rPr>
        <w:t>主表</w:t>
      </w:r>
      <w:r>
        <w:rPr>
          <w:rFonts w:hint="eastAsia" w:cs="宋体"/>
          <w:color w:val="auto"/>
        </w:rPr>
        <w:t>》（A100000）</w:t>
      </w:r>
    </w:p>
    <w:p w14:paraId="02FB1DB4">
      <w:pPr>
        <w:pStyle w:val="8"/>
        <w:ind w:firstLine="480"/>
        <w:rPr>
          <w:rFonts w:hint="eastAsia" w:cs="宋体"/>
          <w:color w:val="auto"/>
        </w:rPr>
      </w:pPr>
      <w:r>
        <w:rPr>
          <w:rFonts w:hint="eastAsia" w:cs="宋体"/>
          <w:color w:val="auto"/>
        </w:rPr>
        <w:t>本表为必填表，是纳税人计算申报缴纳企业所得税的主表。</w:t>
      </w:r>
    </w:p>
    <w:p w14:paraId="7EEEC3D5">
      <w:pPr>
        <w:pStyle w:val="8"/>
        <w:ind w:firstLine="480"/>
        <w:rPr>
          <w:rFonts w:hint="eastAsia" w:cs="宋体"/>
          <w:color w:val="auto"/>
        </w:rPr>
      </w:pPr>
      <w:r>
        <w:rPr>
          <w:rFonts w:hint="eastAsia" w:cs="宋体"/>
          <w:color w:val="auto"/>
        </w:rPr>
        <w:t>3.《一般企业收入明细表》（A101010）</w:t>
      </w:r>
    </w:p>
    <w:p w14:paraId="1B395023">
      <w:pPr>
        <w:pStyle w:val="8"/>
        <w:ind w:firstLine="480"/>
        <w:rPr>
          <w:rFonts w:hint="eastAsia" w:cs="宋体"/>
          <w:color w:val="auto"/>
        </w:rPr>
      </w:pPr>
      <w:r>
        <w:rPr>
          <w:rFonts w:hint="eastAsia" w:cs="宋体"/>
          <w:color w:val="auto"/>
        </w:rPr>
        <w:t>本表适用于除金融企业、事业单位和民间非营利组织外的纳税人填报，反映一般企业按照国家统一会计制度规定取得收入情况。</w:t>
      </w:r>
    </w:p>
    <w:p w14:paraId="4C7B2064">
      <w:pPr>
        <w:pStyle w:val="8"/>
        <w:ind w:firstLine="480"/>
        <w:rPr>
          <w:rFonts w:hint="eastAsia" w:cs="宋体"/>
          <w:color w:val="auto"/>
        </w:rPr>
      </w:pPr>
      <w:r>
        <w:rPr>
          <w:rFonts w:hint="eastAsia" w:cs="宋体"/>
          <w:color w:val="auto"/>
        </w:rPr>
        <w:t>4.《金融企业收入明细表》（A101020）</w:t>
      </w:r>
    </w:p>
    <w:p w14:paraId="49BF1BA4">
      <w:pPr>
        <w:pStyle w:val="8"/>
        <w:ind w:firstLine="480"/>
        <w:rPr>
          <w:rFonts w:hint="eastAsia" w:cs="宋体"/>
          <w:color w:val="auto"/>
        </w:rPr>
      </w:pPr>
      <w:r>
        <w:rPr>
          <w:rFonts w:hint="eastAsia" w:cs="宋体"/>
          <w:color w:val="auto"/>
        </w:rPr>
        <w:t>本表仅适用于金融企业（包括银行、信用社、保险公司、证券公司等金融企业）填报，反映金融企业按照企业会计准则规定取得收入情况。</w:t>
      </w:r>
    </w:p>
    <w:p w14:paraId="1AE889D9">
      <w:pPr>
        <w:pStyle w:val="8"/>
        <w:ind w:firstLine="480"/>
        <w:rPr>
          <w:rFonts w:hint="eastAsia" w:cs="宋体"/>
          <w:color w:val="auto"/>
        </w:rPr>
      </w:pPr>
      <w:r>
        <w:rPr>
          <w:rFonts w:hint="eastAsia" w:cs="宋体"/>
          <w:color w:val="auto"/>
        </w:rPr>
        <w:t>5.《一般企业成本支出明细表》（A102010）</w:t>
      </w:r>
    </w:p>
    <w:p w14:paraId="5EF0B5F0">
      <w:pPr>
        <w:pStyle w:val="8"/>
        <w:ind w:firstLine="480"/>
        <w:rPr>
          <w:rFonts w:hint="eastAsia" w:cs="宋体"/>
          <w:color w:val="auto"/>
        </w:rPr>
      </w:pPr>
      <w:r>
        <w:rPr>
          <w:rFonts w:hint="eastAsia" w:cs="宋体"/>
          <w:color w:val="auto"/>
        </w:rPr>
        <w:t>本表适用于除金融企业、事业单位和民间非营利组织外的纳税人填报，反映一般企业按照国家统一会计制度规定发生成本支出情况。</w:t>
      </w:r>
    </w:p>
    <w:p w14:paraId="1F80C2D1">
      <w:pPr>
        <w:pStyle w:val="8"/>
        <w:ind w:firstLine="480"/>
        <w:rPr>
          <w:rFonts w:hint="eastAsia" w:cs="宋体"/>
          <w:color w:val="auto"/>
        </w:rPr>
      </w:pPr>
      <w:r>
        <w:rPr>
          <w:rFonts w:hint="eastAsia" w:cs="宋体"/>
          <w:color w:val="auto"/>
        </w:rPr>
        <w:t>6.《金融企业支出明细表》（A102020）</w:t>
      </w:r>
    </w:p>
    <w:p w14:paraId="73653397">
      <w:pPr>
        <w:pStyle w:val="8"/>
        <w:ind w:firstLine="480"/>
        <w:rPr>
          <w:rFonts w:hint="eastAsia" w:cs="宋体"/>
          <w:color w:val="auto"/>
        </w:rPr>
      </w:pPr>
      <w:r>
        <w:rPr>
          <w:rFonts w:hint="eastAsia" w:cs="宋体"/>
          <w:color w:val="auto"/>
        </w:rPr>
        <w:t>本表仅适用于金融企业（包括银行、信用社、保险公司、证券公司等金融企业）填报，反映金融企业按照企业会计准则规定发生支出情况。</w:t>
      </w:r>
    </w:p>
    <w:p w14:paraId="7455B5B5">
      <w:pPr>
        <w:pStyle w:val="8"/>
        <w:ind w:firstLine="480"/>
        <w:rPr>
          <w:rFonts w:hint="eastAsia" w:cs="宋体"/>
          <w:color w:val="auto"/>
        </w:rPr>
      </w:pPr>
      <w:r>
        <w:rPr>
          <w:rFonts w:hint="eastAsia" w:cs="宋体"/>
          <w:color w:val="auto"/>
        </w:rPr>
        <w:t>7.《事业单位、民间非营利组织收入、支出明细表》（A103000）</w:t>
      </w:r>
    </w:p>
    <w:p w14:paraId="148DF431">
      <w:pPr>
        <w:pStyle w:val="8"/>
        <w:ind w:firstLine="480"/>
        <w:rPr>
          <w:rFonts w:hint="eastAsia" w:cs="宋体"/>
          <w:color w:val="auto"/>
        </w:rPr>
      </w:pPr>
      <w:r>
        <w:rPr>
          <w:rFonts w:hint="eastAsia" w:cs="宋体"/>
          <w:color w:val="auto"/>
        </w:rPr>
        <w:t>本表适用于事业单位和民间非营利组织填报，反映事业单位、社会团体、民办非企业单位、非营利组织等按照有关会计制度规定取得收入，发生支出、费用情况。</w:t>
      </w:r>
    </w:p>
    <w:p w14:paraId="52CAEA9E">
      <w:pPr>
        <w:pStyle w:val="8"/>
        <w:ind w:firstLine="480"/>
        <w:rPr>
          <w:rFonts w:hint="eastAsia" w:cs="宋体"/>
          <w:color w:val="auto"/>
        </w:rPr>
      </w:pPr>
      <w:r>
        <w:rPr>
          <w:rFonts w:hint="eastAsia" w:cs="宋体"/>
          <w:color w:val="auto"/>
        </w:rPr>
        <w:t>8.《期间费用明细表》（A104000）</w:t>
      </w:r>
    </w:p>
    <w:p w14:paraId="46B879EB">
      <w:pPr>
        <w:pStyle w:val="8"/>
        <w:ind w:firstLine="480"/>
        <w:rPr>
          <w:rFonts w:hint="eastAsia" w:cs="宋体"/>
          <w:color w:val="auto"/>
        </w:rPr>
      </w:pPr>
      <w:r>
        <w:rPr>
          <w:rFonts w:hint="eastAsia" w:cs="宋体"/>
          <w:color w:val="auto"/>
        </w:rPr>
        <w:t>本表适用于除事业单位和民间非营利组织外的纳税人填报，反映纳税人根据国家统一会计制度发生的期间费用明细情况。</w:t>
      </w:r>
    </w:p>
    <w:p w14:paraId="487EC67F">
      <w:pPr>
        <w:pStyle w:val="8"/>
        <w:ind w:firstLine="480"/>
        <w:rPr>
          <w:rFonts w:hint="eastAsia" w:cs="宋体"/>
          <w:color w:val="auto"/>
        </w:rPr>
      </w:pPr>
      <w:r>
        <w:rPr>
          <w:rFonts w:hint="eastAsia" w:cs="宋体"/>
          <w:color w:val="auto"/>
        </w:rPr>
        <w:t>9.《纳税调整项目明细表》（A105000）</w:t>
      </w:r>
    </w:p>
    <w:p w14:paraId="3F56156A">
      <w:pPr>
        <w:pStyle w:val="8"/>
        <w:ind w:firstLine="480"/>
        <w:rPr>
          <w:rFonts w:hint="eastAsia" w:cs="宋体"/>
          <w:color w:val="auto"/>
        </w:rPr>
      </w:pPr>
      <w:r>
        <w:rPr>
          <w:rFonts w:hint="eastAsia" w:cs="宋体"/>
          <w:color w:val="auto"/>
        </w:rPr>
        <w:t>本表反映纳税人财务、会计处理办法（以下简称“会计处理”）与税收法律、行政法规的规定（以下简称“税收规定”）不一致，需要进行纳税调整的项目和金额情况。</w:t>
      </w:r>
    </w:p>
    <w:p w14:paraId="4D0B1F4E">
      <w:pPr>
        <w:pStyle w:val="8"/>
        <w:ind w:firstLine="480"/>
        <w:rPr>
          <w:rFonts w:hint="eastAsia" w:cs="宋体"/>
          <w:color w:val="auto"/>
        </w:rPr>
      </w:pPr>
      <w:r>
        <w:rPr>
          <w:rFonts w:hint="eastAsia" w:cs="宋体"/>
          <w:color w:val="auto"/>
        </w:rPr>
        <w:t>10.《视同销售和房地产开发企业特定业务纳税调整明细表》（A105010）</w:t>
      </w:r>
    </w:p>
    <w:p w14:paraId="13F2BA3F">
      <w:pPr>
        <w:pStyle w:val="8"/>
        <w:ind w:firstLine="480"/>
        <w:rPr>
          <w:rFonts w:hint="eastAsia" w:cs="宋体"/>
          <w:color w:val="auto"/>
        </w:rPr>
      </w:pPr>
      <w:r>
        <w:rPr>
          <w:rFonts w:hint="eastAsia" w:cs="宋体"/>
          <w:color w:val="auto"/>
        </w:rPr>
        <w:t>本表反映纳税人发生视同销售行为、房地产开发企业销售未完工产品、未完工产品转完工产品，会计处理与税收规定不一致，需要进行纳税调整的项目和金额情况。</w:t>
      </w:r>
    </w:p>
    <w:p w14:paraId="2186688A">
      <w:pPr>
        <w:pStyle w:val="8"/>
        <w:ind w:firstLine="480"/>
        <w:rPr>
          <w:rFonts w:hint="eastAsia" w:cs="宋体"/>
          <w:color w:val="auto"/>
        </w:rPr>
      </w:pPr>
      <w:r>
        <w:rPr>
          <w:rFonts w:hint="eastAsia" w:cs="宋体"/>
          <w:color w:val="auto"/>
        </w:rPr>
        <w:t>11.《未按权责发生制确认收入纳税调整明细表》（A105020）</w:t>
      </w:r>
    </w:p>
    <w:p w14:paraId="57F808D3">
      <w:pPr>
        <w:pStyle w:val="8"/>
        <w:ind w:firstLine="480"/>
        <w:rPr>
          <w:rFonts w:hint="eastAsia" w:cs="宋体"/>
          <w:color w:val="auto"/>
        </w:rPr>
      </w:pPr>
      <w:r>
        <w:rPr>
          <w:rFonts w:hint="eastAsia" w:cs="宋体"/>
          <w:color w:val="auto"/>
        </w:rPr>
        <w:t>本表反映纳税人会计处理按照权责发生制确认收入，而税收规定不按照权责发生制确认收入，需要进行纳税调整的项目和金额情况。</w:t>
      </w:r>
    </w:p>
    <w:p w14:paraId="45F823B6">
      <w:pPr>
        <w:pStyle w:val="8"/>
        <w:ind w:firstLine="480"/>
        <w:rPr>
          <w:rFonts w:hint="eastAsia" w:cs="宋体"/>
          <w:color w:val="auto"/>
        </w:rPr>
      </w:pPr>
      <w:r>
        <w:rPr>
          <w:rFonts w:hint="eastAsia" w:cs="宋体"/>
          <w:color w:val="auto"/>
        </w:rPr>
        <w:t>12.《投资收益纳税调整明细表》（A105030）</w:t>
      </w:r>
    </w:p>
    <w:p w14:paraId="43683605">
      <w:pPr>
        <w:pStyle w:val="8"/>
        <w:ind w:firstLine="480"/>
        <w:rPr>
          <w:rFonts w:hint="eastAsia" w:cs="宋体"/>
          <w:color w:val="auto"/>
        </w:rPr>
      </w:pPr>
      <w:r>
        <w:rPr>
          <w:rFonts w:hint="eastAsia" w:cs="宋体"/>
          <w:color w:val="auto"/>
        </w:rPr>
        <w:t>本表反映纳税人发生投资收益，由于会计处理与税收规定不一致，需要进行纳税调整的项目和金额情况。</w:t>
      </w:r>
    </w:p>
    <w:p w14:paraId="14D21451">
      <w:pPr>
        <w:pStyle w:val="8"/>
        <w:ind w:firstLine="480"/>
        <w:rPr>
          <w:rFonts w:hint="eastAsia" w:cs="宋体"/>
          <w:color w:val="auto"/>
        </w:rPr>
      </w:pPr>
      <w:r>
        <w:rPr>
          <w:rFonts w:hint="eastAsia" w:cs="宋体"/>
          <w:color w:val="auto"/>
        </w:rPr>
        <w:t>13.《专项用途财政性资金纳税调整明细表》（A105040）</w:t>
      </w:r>
    </w:p>
    <w:p w14:paraId="2D355B51">
      <w:pPr>
        <w:pStyle w:val="8"/>
        <w:ind w:firstLine="480"/>
        <w:rPr>
          <w:rFonts w:hint="eastAsia" w:cs="宋体"/>
          <w:color w:val="auto"/>
        </w:rPr>
      </w:pPr>
      <w:r>
        <w:rPr>
          <w:rFonts w:hint="eastAsia" w:cs="宋体"/>
          <w:color w:val="auto"/>
        </w:rPr>
        <w:t>本表反映纳税人取得符合不征税收入条件的专项用途财政性资金，由于会计处理与税收规定不一致，需要进行纳税调整的金额情况。</w:t>
      </w:r>
    </w:p>
    <w:p w14:paraId="1867FA2E">
      <w:pPr>
        <w:pStyle w:val="8"/>
        <w:ind w:firstLine="480"/>
        <w:rPr>
          <w:rFonts w:hint="eastAsia" w:cs="宋体"/>
          <w:color w:val="auto"/>
        </w:rPr>
      </w:pPr>
      <w:r>
        <w:rPr>
          <w:rFonts w:hint="eastAsia" w:cs="宋体"/>
          <w:color w:val="auto"/>
        </w:rPr>
        <w:t>14.《职工薪酬支出及纳税调整明细表》（A105050）</w:t>
      </w:r>
    </w:p>
    <w:p w14:paraId="2D492336">
      <w:pPr>
        <w:pStyle w:val="8"/>
        <w:ind w:firstLine="480"/>
        <w:rPr>
          <w:rFonts w:hint="eastAsia" w:cs="宋体"/>
          <w:color w:val="auto"/>
        </w:rPr>
      </w:pPr>
      <w:r>
        <w:rPr>
          <w:rFonts w:hint="eastAsia" w:cs="宋体"/>
          <w:color w:val="auto"/>
        </w:rPr>
        <w:t>本表反映纳税人发生的职工薪酬（包括工资薪金、职工福利费、职工教育经费、工会经费、各类基本社会保障性缴款、住房公积金、补充养老保险、补充医疗保险等支出）情况，以及由于会计处理与税收规定不一致，需要进行纳税调整的项目和金额情况。纳税人只要发生职工薪酬支出，均需填报本表。</w:t>
      </w:r>
    </w:p>
    <w:p w14:paraId="58D4DEBF">
      <w:pPr>
        <w:pStyle w:val="8"/>
        <w:ind w:firstLine="480"/>
        <w:rPr>
          <w:rFonts w:hint="eastAsia" w:cs="宋体"/>
          <w:color w:val="auto"/>
        </w:rPr>
      </w:pPr>
      <w:r>
        <w:rPr>
          <w:rFonts w:hint="eastAsia" w:cs="宋体"/>
          <w:color w:val="auto"/>
        </w:rPr>
        <w:t>15.《广告费和业务宣传费等跨年度纳税调整明细表》（A105060）</w:t>
      </w:r>
    </w:p>
    <w:p w14:paraId="6B90E2D9">
      <w:pPr>
        <w:pStyle w:val="8"/>
        <w:ind w:firstLine="480"/>
        <w:rPr>
          <w:rFonts w:hint="eastAsia" w:cs="宋体"/>
          <w:color w:val="auto"/>
        </w:rPr>
      </w:pPr>
      <w:r>
        <w:rPr>
          <w:rFonts w:hint="eastAsia" w:cs="宋体"/>
          <w:color w:val="auto"/>
        </w:rPr>
        <w:t>本表反映纳税人发生的广告费和业务宣传费支出、保险企业发生的手续费及佣金支出，由于会计处理与税收规定不一致，需要进行纳税调整的金额情况。纳税人以前年度发生广告费和业务宣传费支出、保险企业以前年度发生手续费及佣金支出尚未扣除完毕结转至本年度扣除的，应填报以前年度累计结转情况。</w:t>
      </w:r>
    </w:p>
    <w:p w14:paraId="3009AAE9">
      <w:pPr>
        <w:pStyle w:val="8"/>
        <w:ind w:firstLine="480"/>
        <w:rPr>
          <w:rFonts w:hint="eastAsia" w:cs="宋体"/>
          <w:color w:val="auto"/>
        </w:rPr>
      </w:pPr>
      <w:r>
        <w:rPr>
          <w:rFonts w:hint="eastAsia" w:cs="宋体"/>
          <w:color w:val="auto"/>
        </w:rPr>
        <w:t>16.《捐赠支出及纳税调整明细表》（A105070）</w:t>
      </w:r>
    </w:p>
    <w:p w14:paraId="33F35E1D">
      <w:pPr>
        <w:pStyle w:val="8"/>
        <w:ind w:firstLine="480"/>
        <w:rPr>
          <w:rFonts w:hint="eastAsia" w:cs="宋体"/>
          <w:color w:val="auto"/>
        </w:rPr>
      </w:pPr>
      <w:r>
        <w:rPr>
          <w:rFonts w:hint="eastAsia" w:cs="宋体"/>
          <w:color w:val="auto"/>
        </w:rPr>
        <w:t>本表反映纳税人发生捐赠支出的情况，以及由于会计处理与税收规定不一致，需要进行纳税调整的项目和金额情况。纳税人发生以前年度捐赠支出未扣除完毕的，应填报以前年度累计结转情况。</w:t>
      </w:r>
    </w:p>
    <w:p w14:paraId="0D00683F">
      <w:pPr>
        <w:pStyle w:val="8"/>
        <w:ind w:firstLine="480"/>
        <w:rPr>
          <w:rFonts w:hint="eastAsia" w:cs="宋体"/>
          <w:color w:val="auto"/>
        </w:rPr>
      </w:pPr>
      <w:r>
        <w:rPr>
          <w:rFonts w:hint="eastAsia" w:cs="宋体"/>
          <w:color w:val="auto"/>
        </w:rPr>
        <w:t>17.《资产折旧、摊销及纳税调整明细表》（A105080）</w:t>
      </w:r>
    </w:p>
    <w:p w14:paraId="7869F28D">
      <w:pPr>
        <w:pStyle w:val="8"/>
        <w:ind w:firstLine="480"/>
        <w:rPr>
          <w:rFonts w:hint="eastAsia" w:cs="宋体"/>
          <w:color w:val="auto"/>
        </w:rPr>
      </w:pPr>
      <w:r>
        <w:rPr>
          <w:rFonts w:hint="eastAsia" w:cs="宋体"/>
          <w:color w:val="auto"/>
        </w:rPr>
        <w:t>本表反映纳税人资产折旧、摊销情况，以及由于会计处理与税收规定不一致，需要进行纳税调整的项目和金额情况。纳税人只要发生资产折旧、摊销，均需填报本表。</w:t>
      </w:r>
    </w:p>
    <w:p w14:paraId="159E7A7F">
      <w:pPr>
        <w:pStyle w:val="8"/>
        <w:ind w:firstLine="480"/>
        <w:rPr>
          <w:rFonts w:hint="eastAsia" w:cs="宋体"/>
          <w:color w:val="auto"/>
        </w:rPr>
      </w:pPr>
      <w:r>
        <w:rPr>
          <w:rFonts w:hint="eastAsia" w:cs="宋体"/>
          <w:color w:val="auto"/>
        </w:rPr>
        <w:t>18.《资产损失税前扣除及纳税调整明细表》（A105090）</w:t>
      </w:r>
    </w:p>
    <w:p w14:paraId="4E647AD8">
      <w:pPr>
        <w:pStyle w:val="8"/>
        <w:ind w:firstLine="480"/>
        <w:rPr>
          <w:rFonts w:hint="eastAsia" w:cs="宋体"/>
          <w:color w:val="auto"/>
        </w:rPr>
      </w:pPr>
      <w:r>
        <w:rPr>
          <w:rFonts w:hint="eastAsia" w:cs="宋体"/>
          <w:color w:val="auto"/>
        </w:rPr>
        <w:t>本表反映纳税人发生的资产损失的项目及金额情况，以及由于会计处理与税收规定不一致，需要进行纳税调整的项目和金额情况。</w:t>
      </w:r>
    </w:p>
    <w:p w14:paraId="0CFC8C04">
      <w:pPr>
        <w:pStyle w:val="8"/>
        <w:ind w:firstLine="480"/>
        <w:rPr>
          <w:rFonts w:hint="eastAsia" w:cs="宋体"/>
          <w:color w:val="auto"/>
        </w:rPr>
      </w:pPr>
      <w:r>
        <w:rPr>
          <w:rFonts w:hint="eastAsia" w:cs="宋体"/>
          <w:color w:val="auto"/>
        </w:rPr>
        <w:t>19.《企业重组及递延纳税事项纳税调整明细表》（A105100）</w:t>
      </w:r>
    </w:p>
    <w:p w14:paraId="13B1D610">
      <w:pPr>
        <w:pStyle w:val="8"/>
        <w:ind w:firstLine="480"/>
        <w:rPr>
          <w:rFonts w:hint="eastAsia" w:cs="宋体"/>
          <w:color w:val="auto"/>
        </w:rPr>
      </w:pPr>
      <w:r>
        <w:rPr>
          <w:rFonts w:hint="eastAsia" w:cs="宋体"/>
          <w:color w:val="auto"/>
        </w:rPr>
        <w:t>本表反映纳税人发生企业重组、非货币性资产对外投资、技术入股等业务所涉及的所得或损失情况，以及由于会计处理与税收规定不一致，需要进行纳税调整的项目和金额情况。</w:t>
      </w:r>
    </w:p>
    <w:p w14:paraId="4D96F58D">
      <w:pPr>
        <w:pStyle w:val="8"/>
        <w:ind w:firstLine="480"/>
        <w:rPr>
          <w:rFonts w:hint="eastAsia" w:cs="宋体"/>
          <w:color w:val="auto"/>
        </w:rPr>
      </w:pPr>
      <w:r>
        <w:rPr>
          <w:rFonts w:hint="eastAsia" w:cs="宋体"/>
          <w:color w:val="auto"/>
        </w:rPr>
        <w:t>20.《政策性搬迁纳税调整明细表》（A105110）</w:t>
      </w:r>
    </w:p>
    <w:p w14:paraId="55CD922B">
      <w:pPr>
        <w:pStyle w:val="8"/>
        <w:ind w:firstLine="480"/>
        <w:rPr>
          <w:rFonts w:hint="eastAsia" w:cs="宋体"/>
          <w:color w:val="auto"/>
        </w:rPr>
      </w:pPr>
      <w:r>
        <w:rPr>
          <w:rFonts w:hint="eastAsia" w:cs="宋体"/>
          <w:color w:val="auto"/>
        </w:rPr>
        <w:t>本表反映纳税人发生政策性搬迁所涉及的所得或损失，由于会计处理与税收规定不一致，需要进行纳税调整的项目和金额情况。</w:t>
      </w:r>
    </w:p>
    <w:p w14:paraId="0C5D2B37">
      <w:pPr>
        <w:pStyle w:val="8"/>
        <w:ind w:firstLine="480"/>
        <w:rPr>
          <w:rFonts w:hint="eastAsia" w:cs="宋体"/>
          <w:color w:val="auto"/>
        </w:rPr>
      </w:pPr>
      <w:r>
        <w:rPr>
          <w:rFonts w:hint="eastAsia" w:cs="宋体"/>
          <w:color w:val="auto"/>
        </w:rPr>
        <w:t>21.《贷款损失准备金及纳税调整明细表》（A105120）</w:t>
      </w:r>
    </w:p>
    <w:p w14:paraId="594DB804">
      <w:pPr>
        <w:pStyle w:val="8"/>
        <w:ind w:firstLine="480"/>
        <w:rPr>
          <w:rFonts w:hint="eastAsia" w:cs="宋体"/>
          <w:color w:val="auto"/>
        </w:rPr>
      </w:pPr>
      <w:r>
        <w:rPr>
          <w:rFonts w:hint="eastAsia" w:cs="宋体"/>
          <w:color w:val="auto"/>
        </w:rPr>
        <w:t>本表反映金融企业、小额贷款公司纳税人发生的贷款损失准备金情况，以及由于会计处理与税收规定不一致，需要进行纳税调整的项目和金额情况。</w:t>
      </w:r>
    </w:p>
    <w:p w14:paraId="3DF9FF9F">
      <w:pPr>
        <w:pStyle w:val="8"/>
        <w:ind w:firstLine="480"/>
        <w:rPr>
          <w:rFonts w:hint="eastAsia" w:cs="宋体"/>
          <w:color w:val="auto"/>
        </w:rPr>
      </w:pPr>
      <w:r>
        <w:rPr>
          <w:rFonts w:hint="eastAsia" w:cs="宋体"/>
          <w:color w:val="auto"/>
        </w:rPr>
        <w:t>22.《企业所得税弥补亏损明细表》（A106000）</w:t>
      </w:r>
    </w:p>
    <w:p w14:paraId="76E8BB35">
      <w:pPr>
        <w:pStyle w:val="8"/>
        <w:ind w:firstLine="480"/>
        <w:rPr>
          <w:rFonts w:hint="eastAsia" w:cs="宋体"/>
          <w:color w:val="auto"/>
        </w:rPr>
      </w:pPr>
      <w:r>
        <w:rPr>
          <w:rFonts w:hint="eastAsia" w:cs="宋体"/>
          <w:color w:val="auto"/>
        </w:rPr>
        <w:t>本表反映纳税人以前年度发生的亏损需要在本年度结转弥补的金额，本年度可弥补的金额以及可继续结转以后年度弥补的亏损额情况。</w:t>
      </w:r>
    </w:p>
    <w:p w14:paraId="0D02FBD7">
      <w:pPr>
        <w:pStyle w:val="8"/>
        <w:ind w:firstLine="480"/>
        <w:rPr>
          <w:rFonts w:hint="eastAsia" w:cs="宋体"/>
          <w:color w:val="auto"/>
        </w:rPr>
      </w:pPr>
      <w:r>
        <w:rPr>
          <w:rFonts w:hint="eastAsia" w:cs="宋体"/>
          <w:color w:val="auto"/>
        </w:rPr>
        <w:t>23.《符合条件的居民企业之间的股息、红利等权益性投资收益优惠明细表》（A107011）</w:t>
      </w:r>
    </w:p>
    <w:p w14:paraId="43AF8077">
      <w:pPr>
        <w:pStyle w:val="8"/>
        <w:ind w:firstLine="480"/>
        <w:rPr>
          <w:rFonts w:hint="eastAsia" w:cs="宋体"/>
          <w:color w:val="auto"/>
        </w:rPr>
      </w:pPr>
      <w:r>
        <w:rPr>
          <w:rFonts w:hint="eastAsia" w:cs="宋体"/>
          <w:color w:val="auto"/>
        </w:rPr>
        <w:t>本表反映纳税人本年度享受居民企业之间的股息、红利等权益性投资收益免税优惠政策的项目和金额情况。</w:t>
      </w:r>
    </w:p>
    <w:p w14:paraId="403CC013">
      <w:pPr>
        <w:pStyle w:val="8"/>
        <w:ind w:firstLine="480"/>
        <w:rPr>
          <w:rFonts w:hint="eastAsia" w:cs="宋体"/>
          <w:color w:val="auto"/>
        </w:rPr>
      </w:pPr>
      <w:r>
        <w:rPr>
          <w:rFonts w:hint="eastAsia" w:cs="宋体"/>
          <w:color w:val="auto"/>
        </w:rPr>
        <w:t>24.《研发费用加计扣除优惠明细表》（A107012）</w:t>
      </w:r>
    </w:p>
    <w:p w14:paraId="09970EAA">
      <w:pPr>
        <w:pStyle w:val="8"/>
        <w:ind w:firstLine="480"/>
        <w:rPr>
          <w:rFonts w:hint="eastAsia" w:cs="宋体"/>
          <w:color w:val="auto"/>
        </w:rPr>
      </w:pPr>
      <w:r>
        <w:rPr>
          <w:rFonts w:hint="eastAsia" w:cs="宋体"/>
          <w:color w:val="auto"/>
        </w:rPr>
        <w:t>本表反映纳税人享受研发费用加计扣除优惠政策情况。纳税人以前年度有销售研发活动直接形成产品（包括组成部分）对应材料部分未扣减完毕的，应填报以前年度未扣减情况。</w:t>
      </w:r>
    </w:p>
    <w:p w14:paraId="1DDCB907">
      <w:pPr>
        <w:pStyle w:val="8"/>
        <w:ind w:firstLine="480"/>
        <w:rPr>
          <w:rFonts w:hint="eastAsia" w:cs="宋体"/>
          <w:color w:val="auto"/>
        </w:rPr>
      </w:pPr>
      <w:r>
        <w:rPr>
          <w:rFonts w:hint="eastAsia" w:cs="宋体"/>
          <w:color w:val="auto"/>
        </w:rPr>
        <w:t>25.《所得减免优惠明细表》（A107020）</w:t>
      </w:r>
    </w:p>
    <w:p w14:paraId="51BAF855">
      <w:pPr>
        <w:pStyle w:val="8"/>
        <w:ind w:firstLine="480"/>
        <w:rPr>
          <w:rFonts w:hint="eastAsia" w:cs="宋体"/>
          <w:color w:val="auto"/>
        </w:rPr>
      </w:pPr>
      <w:r>
        <w:rPr>
          <w:rFonts w:hint="eastAsia" w:cs="宋体"/>
          <w:color w:val="auto"/>
        </w:rPr>
        <w:t>本表反映纳税人本年度享受减免所得额优惠政策（包括农、林、牧、渔项目和国家重点扶持的公共基础设施项目、环境保护、节能节水项目、集成电路生产项目以及符合条件的技术转让项目等）项目和金额情况。</w:t>
      </w:r>
    </w:p>
    <w:p w14:paraId="050A2C0A">
      <w:pPr>
        <w:pStyle w:val="8"/>
        <w:ind w:firstLine="480"/>
        <w:rPr>
          <w:rFonts w:hint="eastAsia" w:cs="宋体"/>
          <w:color w:val="auto"/>
        </w:rPr>
      </w:pPr>
      <w:r>
        <w:rPr>
          <w:rFonts w:hint="eastAsia" w:cs="宋体"/>
          <w:color w:val="auto"/>
        </w:rPr>
        <w:t>26.《抵扣应纳税所得额明细表》（A107030）</w:t>
      </w:r>
    </w:p>
    <w:p w14:paraId="353E2F4C">
      <w:pPr>
        <w:pStyle w:val="8"/>
        <w:ind w:firstLine="480"/>
        <w:rPr>
          <w:rFonts w:hint="eastAsia" w:cs="宋体"/>
          <w:color w:val="auto"/>
        </w:rPr>
      </w:pPr>
      <w:r>
        <w:rPr>
          <w:rFonts w:hint="eastAsia" w:cs="宋体"/>
          <w:color w:val="auto"/>
        </w:rPr>
        <w:t>本表反映纳税人本年度享受创业投资企业抵扣应纳税所得额优惠政策的项目和金额情况。纳税人有以前年度结转的尚未抵扣的股权投资余额的，应填报以前年度累计结转情况。</w:t>
      </w:r>
    </w:p>
    <w:p w14:paraId="061093BC">
      <w:pPr>
        <w:pStyle w:val="8"/>
        <w:ind w:firstLine="480"/>
        <w:rPr>
          <w:rFonts w:hint="eastAsia" w:cs="宋体"/>
          <w:color w:val="auto"/>
        </w:rPr>
      </w:pPr>
      <w:r>
        <w:rPr>
          <w:rFonts w:hint="eastAsia" w:cs="宋体"/>
          <w:color w:val="auto"/>
        </w:rPr>
        <w:t>27.《高新技术企业优惠情况及明细表》（A107041）</w:t>
      </w:r>
    </w:p>
    <w:p w14:paraId="59501407">
      <w:pPr>
        <w:pStyle w:val="8"/>
        <w:ind w:firstLine="480"/>
        <w:rPr>
          <w:rFonts w:hint="eastAsia" w:cs="宋体"/>
          <w:color w:val="auto"/>
        </w:rPr>
      </w:pPr>
      <w:r>
        <w:rPr>
          <w:rFonts w:hint="eastAsia" w:cs="宋体"/>
          <w:color w:val="auto"/>
        </w:rPr>
        <w:t>本表反映高新技术企业基本情况和享受优惠政策的有关情况。高新技术企业资格证书在有效期内的纳税人需要填报本表。</w:t>
      </w:r>
    </w:p>
    <w:p w14:paraId="2247A690">
      <w:pPr>
        <w:pStyle w:val="8"/>
        <w:ind w:firstLine="480"/>
        <w:rPr>
          <w:rFonts w:hint="eastAsia" w:cs="宋体"/>
          <w:color w:val="auto"/>
        </w:rPr>
      </w:pPr>
      <w:r>
        <w:rPr>
          <w:rFonts w:hint="eastAsia" w:cs="宋体"/>
          <w:color w:val="auto"/>
        </w:rPr>
        <w:t>28.《软件、集成电路企业优惠情况及明细表》（A107042）</w:t>
      </w:r>
    </w:p>
    <w:p w14:paraId="470CD8B7">
      <w:pPr>
        <w:pStyle w:val="8"/>
        <w:ind w:firstLine="480"/>
        <w:rPr>
          <w:rFonts w:hint="eastAsia" w:cs="宋体"/>
          <w:color w:val="auto"/>
        </w:rPr>
      </w:pPr>
      <w:r>
        <w:rPr>
          <w:rFonts w:hint="eastAsia" w:cs="宋体"/>
          <w:color w:val="auto"/>
        </w:rPr>
        <w:t>本表反映纳税人本年度享受软件、集成电路企业优惠政策的有关情况。</w:t>
      </w:r>
    </w:p>
    <w:p w14:paraId="410C83FC">
      <w:pPr>
        <w:pStyle w:val="8"/>
        <w:ind w:firstLine="480"/>
        <w:rPr>
          <w:rFonts w:hint="eastAsia" w:cs="宋体"/>
          <w:color w:val="auto"/>
        </w:rPr>
      </w:pPr>
      <w:r>
        <w:rPr>
          <w:rFonts w:hint="eastAsia" w:cs="宋体"/>
          <w:color w:val="auto"/>
        </w:rPr>
        <w:t>29.《税额抵免优惠明细表》（A107050）</w:t>
      </w:r>
    </w:p>
    <w:p w14:paraId="51BD01B3">
      <w:pPr>
        <w:pStyle w:val="8"/>
        <w:ind w:firstLine="480"/>
        <w:rPr>
          <w:rFonts w:hint="eastAsia" w:cs="宋体"/>
          <w:color w:val="auto"/>
        </w:rPr>
      </w:pPr>
      <w:r>
        <w:rPr>
          <w:rFonts w:hint="eastAsia" w:cs="宋体"/>
          <w:color w:val="auto"/>
        </w:rPr>
        <w:t>本表反映纳税人享受专用设备投资额抵免税额优惠政策的项目和金额情况。纳税人有以前年度结转的尚未抵免的专用设备投资额的，应填报以前年度已抵免情况。</w:t>
      </w:r>
    </w:p>
    <w:p w14:paraId="061F8B3F">
      <w:pPr>
        <w:pStyle w:val="8"/>
        <w:ind w:firstLine="480"/>
        <w:rPr>
          <w:rFonts w:hint="eastAsia" w:cs="宋体"/>
          <w:color w:val="auto"/>
        </w:rPr>
      </w:pPr>
      <w:r>
        <w:rPr>
          <w:rFonts w:hint="eastAsia" w:cs="宋体"/>
          <w:color w:val="auto"/>
        </w:rPr>
        <w:t>30.《境外所得税收抵免明细表》（A108000）</w:t>
      </w:r>
    </w:p>
    <w:p w14:paraId="2CDF6E76">
      <w:pPr>
        <w:pStyle w:val="8"/>
        <w:ind w:firstLine="480"/>
        <w:rPr>
          <w:rFonts w:hint="eastAsia" w:cs="宋体"/>
          <w:color w:val="auto"/>
        </w:rPr>
      </w:pPr>
      <w:r>
        <w:rPr>
          <w:rFonts w:hint="eastAsia" w:cs="宋体"/>
          <w:color w:val="auto"/>
        </w:rPr>
        <w:t>本表反映纳税人本年度来源于或发生于其他国家、地区的境外所得，按照我国税收规定计算应缴纳和应抵免的企业所得税额情况。</w:t>
      </w:r>
    </w:p>
    <w:p w14:paraId="2BAE46EF">
      <w:pPr>
        <w:pStyle w:val="8"/>
        <w:ind w:firstLine="480"/>
        <w:rPr>
          <w:rFonts w:hint="eastAsia" w:cs="宋体"/>
          <w:color w:val="auto"/>
        </w:rPr>
      </w:pPr>
      <w:r>
        <w:rPr>
          <w:rFonts w:hint="eastAsia" w:cs="宋体"/>
          <w:color w:val="auto"/>
        </w:rPr>
        <w:t>31.《境外所得纳税调整后所得明细表》（A108010）</w:t>
      </w:r>
    </w:p>
    <w:p w14:paraId="1B91F716">
      <w:pPr>
        <w:pStyle w:val="8"/>
        <w:ind w:firstLine="480"/>
        <w:rPr>
          <w:rFonts w:hint="eastAsia" w:cs="宋体"/>
          <w:color w:val="auto"/>
        </w:rPr>
      </w:pPr>
      <w:r>
        <w:rPr>
          <w:rFonts w:hint="eastAsia" w:cs="宋体"/>
          <w:color w:val="auto"/>
        </w:rPr>
        <w:t>本表反映纳税人本年度来源于或发生于其他国家、地区的境外所得，按照我国税收规定计算调整后的所得情况。</w:t>
      </w:r>
    </w:p>
    <w:p w14:paraId="2D20B76A">
      <w:pPr>
        <w:pStyle w:val="8"/>
        <w:ind w:firstLine="480"/>
        <w:rPr>
          <w:rFonts w:hint="eastAsia" w:cs="宋体"/>
          <w:color w:val="auto"/>
        </w:rPr>
      </w:pPr>
      <w:r>
        <w:rPr>
          <w:rFonts w:hint="eastAsia" w:cs="宋体"/>
          <w:color w:val="auto"/>
        </w:rPr>
        <w:t>32.《境外分支机构弥补亏损明细表》（A108020）</w:t>
      </w:r>
    </w:p>
    <w:p w14:paraId="5A21477D">
      <w:pPr>
        <w:pStyle w:val="8"/>
        <w:ind w:firstLine="480"/>
        <w:rPr>
          <w:rFonts w:hint="eastAsia" w:cs="宋体"/>
          <w:color w:val="auto"/>
        </w:rPr>
      </w:pPr>
      <w:r>
        <w:rPr>
          <w:rFonts w:hint="eastAsia" w:cs="宋体"/>
          <w:color w:val="auto"/>
        </w:rPr>
        <w:t>本表反映纳税人境外分支机构本年度及以前年度发生的税前尚未弥补的非实际亏损额和实际亏损额、结转以后年度弥补的非实际亏损额和实际亏损额情况。</w:t>
      </w:r>
    </w:p>
    <w:p w14:paraId="21CA253F">
      <w:pPr>
        <w:pStyle w:val="8"/>
        <w:ind w:firstLine="480"/>
        <w:rPr>
          <w:rFonts w:hint="eastAsia" w:cs="宋体"/>
          <w:color w:val="auto"/>
        </w:rPr>
      </w:pPr>
      <w:r>
        <w:rPr>
          <w:rFonts w:hint="eastAsia" w:cs="宋体"/>
          <w:color w:val="auto"/>
        </w:rPr>
        <w:t>33.《跨年度结转抵免境外所得税明细表》（A108030）</w:t>
      </w:r>
    </w:p>
    <w:p w14:paraId="43659033">
      <w:pPr>
        <w:pStyle w:val="8"/>
        <w:ind w:firstLine="480"/>
        <w:rPr>
          <w:rFonts w:hint="eastAsia" w:cs="宋体"/>
          <w:color w:val="auto"/>
        </w:rPr>
      </w:pPr>
      <w:r>
        <w:rPr>
          <w:rFonts w:hint="eastAsia" w:cs="宋体"/>
          <w:color w:val="auto"/>
        </w:rPr>
        <w:t>本表反映纳税人本年度来源于或发生于其他国家或地区的境外所得按照我国税收规定可以抵免的所得税额情况。</w:t>
      </w:r>
    </w:p>
    <w:p w14:paraId="145AC327">
      <w:pPr>
        <w:pStyle w:val="8"/>
        <w:ind w:firstLine="480"/>
        <w:rPr>
          <w:rFonts w:hint="eastAsia" w:cs="宋体"/>
          <w:color w:val="auto"/>
        </w:rPr>
      </w:pPr>
      <w:r>
        <w:rPr>
          <w:rFonts w:hint="eastAsia" w:cs="宋体"/>
          <w:color w:val="auto"/>
        </w:rPr>
        <w:t>34.《跨地区经营汇总纳税企业年度分摊企业所得税明细表》（A109000）</w:t>
      </w:r>
    </w:p>
    <w:p w14:paraId="35A37FFF">
      <w:pPr>
        <w:pStyle w:val="8"/>
        <w:ind w:firstLine="480"/>
        <w:rPr>
          <w:rFonts w:hint="eastAsia" w:cs="宋体"/>
          <w:color w:val="auto"/>
        </w:rPr>
      </w:pPr>
      <w:r>
        <w:rPr>
          <w:rFonts w:hint="eastAsia" w:cs="宋体"/>
          <w:color w:val="auto"/>
        </w:rPr>
        <w:t>本表适用于跨地区经营汇总纳税企业的总机构填报，反映按照规定计算的总机构、分支机构本年度应缴的企业所得税情况，以及总机构、分支机构应分摊的企业所得税情况。</w:t>
      </w:r>
    </w:p>
    <w:p w14:paraId="1D4CDFDC">
      <w:pPr>
        <w:pStyle w:val="8"/>
        <w:ind w:firstLine="480"/>
        <w:rPr>
          <w:rFonts w:hint="eastAsia" w:cs="宋体"/>
          <w:color w:val="auto"/>
        </w:rPr>
      </w:pPr>
      <w:r>
        <w:rPr>
          <w:rFonts w:hint="eastAsia" w:cs="宋体"/>
          <w:color w:val="auto"/>
        </w:rPr>
        <w:t>35.《企业所得税汇总纳税分支机构所得税分配表》（A109010）</w:t>
      </w:r>
    </w:p>
    <w:p w14:paraId="71DA4DE7">
      <w:pPr>
        <w:spacing w:line="360" w:lineRule="auto"/>
        <w:ind w:firstLine="480" w:firstLineChars="200"/>
        <w:rPr>
          <w:rFonts w:hint="eastAsia" w:ascii="宋体" w:hAnsi="宋体" w:cs="宋体"/>
          <w:color w:val="auto"/>
          <w:sz w:val="24"/>
        </w:rPr>
      </w:pPr>
      <w:r>
        <w:rPr>
          <w:rFonts w:hint="eastAsia" w:ascii="宋体" w:hAnsi="宋体" w:cs="宋体"/>
          <w:color w:val="auto"/>
          <w:sz w:val="24"/>
        </w:rPr>
        <w:t>本表适用于跨地区经营汇总纳税企业的总机构填报，反映总机构本年度实际应纳所得税额以及所属分支机构本年度应分摊的所得税额情况。</w:t>
      </w:r>
    </w:p>
    <w:p w14:paraId="7207DEEF">
      <w:pPr>
        <w:widowControl/>
        <w:jc w:val="left"/>
        <w:rPr>
          <w:rFonts w:hint="eastAsia" w:ascii="宋体" w:hAnsi="宋体" w:cs="宋体"/>
          <w:color w:val="auto"/>
          <w:sz w:val="24"/>
        </w:rPr>
        <w:sectPr>
          <w:footerReference r:id="rId5" w:type="default"/>
          <w:pgSz w:w="11906" w:h="16838"/>
          <w:pgMar w:top="1440" w:right="1800" w:bottom="1440" w:left="1800" w:header="851" w:footer="992" w:gutter="0"/>
          <w:pgNumType w:fmt="decimal"/>
          <w:cols w:space="720" w:num="1"/>
          <w:docGrid w:type="lines" w:linePitch="312" w:charSpace="0"/>
        </w:sectPr>
      </w:pPr>
    </w:p>
    <w:p w14:paraId="25399E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07DA">
    <w:pPr>
      <w:pStyle w:val="3"/>
    </w:pPr>
  </w:p>
  <w:p w14:paraId="581FABA2">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46050"/>
              <wp:effectExtent l="0" t="0" r="0" b="0"/>
              <wp:wrapNone/>
              <wp:docPr id="2056147011" name="文本框 2056147011"/>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ffectLst/>
                    </wps:spPr>
                    <wps:txbx>
                      <w:txbxContent>
                        <w:p w14:paraId="5FD69027">
                          <w:pPr>
                            <w:pStyle w:val="3"/>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3</w:t>
                          </w:r>
                          <w:r>
                            <w:rPr>
                              <w:sz w:val="20"/>
                              <w:szCs w:val="20"/>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5pt;width:5.05pt;mso-position-horizontal:center;mso-position-horizontal-relative:margin;mso-wrap-style:none;z-index:251660288;mso-width-relative:page;mso-height-relative:page;" filled="f" stroked="f" coordsize="21600,21600" o:gfxdata="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y0ah0AAAAAMBAAAPAAAAAAAAAAEA&#10;IAAAACIAAABkcnMvZG93bnJldi54bWxQSwECFAAUAAAACACHTuJAqqbTzhcCAAAhBAAADgAAAAAA&#10;AAABACAAAAAfAQAAZHJzL2Uyb0RvYy54bWxQSwUGAAAAAAYABgBZAQAAqAUAAAAA&#10;">
              <v:path/>
              <v:fill on="f" focussize="0,0"/>
              <v:stroke on="f"/>
              <v:imagedata o:title=""/>
              <o:lock v:ext="edit" aspectratio="f"/>
              <v:textbox inset="0mm,0mm,0mm,0mm" style="mso-fit-shape-to-text:t;">
                <w:txbxContent>
                  <w:p w14:paraId="5FD69027">
                    <w:pPr>
                      <w:pStyle w:val="3"/>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3</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4146">
    <w:pPr>
      <w:pStyle w:val="3"/>
      <w:rPr>
        <w:rFonts w:ascii="Arial" w:hAnsi="Arial" w:cs="Arial"/>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0A63F4F3">
                          <w:pPr>
                            <w:pStyle w:val="3"/>
                          </w:pPr>
                          <w:r>
                            <w:rPr>
                              <w:rFonts w:ascii="Arial" w:hAnsi="Arial" w:eastAsia="等线 Light" w:cs="Arial"/>
                              <w:kern w:val="0"/>
                              <w:sz w:val="21"/>
                              <w:szCs w:val="21"/>
                              <w:lang w:val="zh-CN"/>
                            </w:rPr>
                            <w:t>－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Z58AQkCAAASBAAADgAAAAAAAAABACAAAAAeAQAAZHJz&#10;L2Uyb0RvYy54bWxQSwUGAAAAAAYABgBZAQAAmQUAAAAA&#10;">
              <v:path/>
              <v:fill on="f" focussize="0,0"/>
              <v:stroke on="f"/>
              <v:imagedata o:title=""/>
              <o:lock v:ext="edit" aspectratio="f"/>
              <v:textbox inset="0mm,0mm,0mm,0mm" style="mso-fit-shape-to-text:t;">
                <w:txbxContent>
                  <w:p w14:paraId="0A63F4F3">
                    <w:pPr>
                      <w:pStyle w:val="3"/>
                    </w:pPr>
                    <w:r>
                      <w:rPr>
                        <w:rFonts w:ascii="Arial" w:hAnsi="Arial" w:eastAsia="等线 Light" w:cs="Arial"/>
                        <w:kern w:val="0"/>
                        <w:sz w:val="21"/>
                        <w:szCs w:val="21"/>
                        <w:lang w:val="zh-CN"/>
                      </w:rPr>
                      <w:t>－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B66E">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02A88B">
                          <w:pPr>
                            <w:pStyle w:val="3"/>
                            <w:jc w:val="center"/>
                          </w:pPr>
                          <w:r>
                            <w:fldChar w:fldCharType="begin"/>
                          </w:r>
                          <w:r>
                            <w:instrText xml:space="preserve">PAGE   \* MERGEFORMAT</w:instrText>
                          </w:r>
                          <w:r>
                            <w:fldChar w:fldCharType="separate"/>
                          </w:r>
                          <w:r>
                            <w:rPr>
                              <w:lang w:val="zh-CN"/>
                            </w:rPr>
                            <w:t>2</w:t>
                          </w:r>
                          <w:r>
                            <w:fldChar w:fldCharType="end"/>
                          </w:r>
                        </w:p>
                        <w:p w14:paraId="16B8E21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path/>
              <v:fill on="f" focussize="0,0"/>
              <v:stroke on="f" weight="0.5pt"/>
              <v:imagedata o:title=""/>
              <o:lock v:ext="edit" aspectratio="f"/>
              <v:textbox inset="0mm,0mm,0mm,0mm" style="mso-fit-shape-to-text:t;">
                <w:txbxContent>
                  <w:p w14:paraId="4502A88B">
                    <w:pPr>
                      <w:pStyle w:val="3"/>
                      <w:jc w:val="center"/>
                    </w:pPr>
                    <w:r>
                      <w:fldChar w:fldCharType="begin"/>
                    </w:r>
                    <w:r>
                      <w:instrText xml:space="preserve">PAGE   \* MERGEFORMAT</w:instrText>
                    </w:r>
                    <w:r>
                      <w:fldChar w:fldCharType="separate"/>
                    </w:r>
                    <w:r>
                      <w:rPr>
                        <w:lang w:val="zh-CN"/>
                      </w:rPr>
                      <w:t>2</w:t>
                    </w:r>
                    <w:r>
                      <w:fldChar w:fldCharType="end"/>
                    </w:r>
                  </w:p>
                  <w:p w14:paraId="16B8E21B"/>
                </w:txbxContent>
              </v:textbox>
            </v:shape>
          </w:pict>
        </mc:Fallback>
      </mc:AlternateContent>
    </w:r>
  </w:p>
  <w:p w14:paraId="6A5DBCC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055EA"/>
    <w:rsid w:val="116055EA"/>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1"/>
    <w:basedOn w:val="8"/>
    <w:qFormat/>
    <w:uiPriority w:val="0"/>
    <w:pPr>
      <w:tabs>
        <w:tab w:val="center" w:pos="4678"/>
      </w:tabs>
      <w:ind w:firstLine="0" w:firstLineChars="0"/>
      <w:jc w:val="center"/>
      <w:outlineLvl w:val="0"/>
    </w:pPr>
    <w:rPr>
      <w:rFonts w:eastAsia="方正小标宋简体" w:cs="宋体"/>
      <w:bCs/>
      <w:kern w:val="0"/>
      <w:sz w:val="28"/>
      <w:szCs w:val="28"/>
    </w:rPr>
  </w:style>
  <w:style w:type="paragraph" w:customStyle="1" w:styleId="8">
    <w:name w:val="SBBZW"/>
    <w:basedOn w:val="1"/>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2025-01-21T14:50:00Z</dcterms:created>
  <dc:creator>www.shuiwu114.com</dc:creator>
  <cp:lastModifiedBy>www.shuiwu114.com</cp:lastModifiedBy>
  <dcterms:modified xsi:type="dcterms:W3CDTF">2025-01-21T14:52:23Z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132AB1E0EBE84214B6A62B2DA0B705D8_11</vt:lpwstr>
  </property>
  <property fmtid="{D5CDD505-2E9C-101B-9397-08002B2CF9AE}" pid="4" name="KSOTemplateDocerSaveRecord">
    <vt:lpwstr>eyJoZGlkIjoiMDY0MGNkMTU3OWQzNDA3NjVmODJmMjIxMTIxOTBhNjUiLCJ1c2VySWQiOiIxMDczMTkyOTA3In0=</vt:lpwstr>
  </property>
</Properties>
</file>