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/>
          <w:color w:val="000000"/>
        </w:rPr>
      </w:pPr>
      <w:bookmarkStart w:id="0" w:name="_Toc25328006"/>
      <w:r>
        <w:rPr>
          <w:rFonts w:hint="eastAsia" w:ascii="宋体" w:hAnsi="宋体"/>
          <w:color w:val="000000"/>
        </w:rPr>
        <w:t>A06148《所有者权益变动表（适用未执行新金融工具准则的商业银行）》</w:t>
      </w:r>
      <w:bookmarkEnd w:id="0"/>
    </w:p>
    <w:p>
      <w:pPr>
        <w:pStyle w:val="14"/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</w:rPr>
        <w:t> </w:t>
      </w:r>
      <w:r>
        <w:rPr>
          <w:rFonts w:hint="eastAsia"/>
          <w:b/>
          <w:color w:val="000000"/>
          <w:sz w:val="28"/>
          <w:szCs w:val="28"/>
        </w:rPr>
        <w:t>所有者权益变动表</w:t>
      </w:r>
    </w:p>
    <w:p>
      <w:pPr>
        <w:pStyle w:val="14"/>
        <w:jc w:val="center"/>
        <w:rPr>
          <w:rFonts w:hint="eastAsia" w:ascii="Cambria" w:hAnsi="Cambria" w:cs="黑体"/>
          <w:b/>
          <w:bCs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 w:cs="MingLiU"/>
          <w:color w:val="000000"/>
        </w:rPr>
      </w:pPr>
      <w:r>
        <w:rPr>
          <w:rFonts w:hint="eastAsia" w:ascii="宋体" w:hAnsi="宋体" w:cs="MingLiU"/>
          <w:color w:val="000000"/>
        </w:rPr>
        <w:t xml:space="preserve">                                                                                                                       会商银：</w:t>
      </w:r>
      <w:r>
        <w:rPr>
          <w:rFonts w:hint="eastAsia" w:ascii="宋体" w:hAnsi="宋体"/>
          <w:color w:val="000000"/>
          <w:spacing w:val="1"/>
        </w:rPr>
        <w:t>0</w:t>
      </w:r>
      <w:r>
        <w:rPr>
          <w:rFonts w:hint="eastAsia" w:ascii="宋体" w:hAnsi="宋体"/>
          <w:color w:val="000000"/>
        </w:rPr>
        <w:t xml:space="preserve">4 </w:t>
      </w:r>
      <w:r>
        <w:rPr>
          <w:rFonts w:hint="eastAsia" w:ascii="宋体" w:hAnsi="宋体" w:cs="MingLiU"/>
          <w:color w:val="000000"/>
        </w:rPr>
        <w:t>表</w:t>
      </w:r>
    </w:p>
    <w:p>
      <w:pPr>
        <w:pStyle w:val="15"/>
        <w:spacing w:line="360" w:lineRule="auto"/>
        <w:ind w:left="617"/>
        <w:rPr>
          <w:rFonts w:ascii="宋体" w:hAnsi="宋体" w:cs="MingLiU"/>
          <w:color w:val="000000"/>
        </w:rPr>
      </w:pPr>
      <w:r>
        <w:rPr>
          <w:rFonts w:hint="eastAsia" w:ascii="宋体" w:hAnsi="宋体" w:cs="MingLiU"/>
          <w:color w:val="000000"/>
          <w:position w:val="-1"/>
        </w:rPr>
        <w:t>编制单位</w:t>
      </w:r>
      <w:r>
        <w:rPr>
          <w:rFonts w:hint="eastAsia" w:ascii="宋体" w:hAnsi="宋体"/>
          <w:color w:val="000000"/>
          <w:position w:val="-1"/>
        </w:rPr>
        <w:t>:</w:t>
      </w:r>
      <w:r>
        <w:rPr>
          <w:rFonts w:hint="eastAsia" w:ascii="宋体" w:hAnsi="宋体"/>
          <w:color w:val="000000"/>
          <w:position w:val="-1"/>
        </w:rPr>
        <w:tab/>
      </w:r>
      <w:r>
        <w:rPr>
          <w:rFonts w:hint="eastAsia" w:ascii="宋体" w:hAnsi="宋体"/>
          <w:color w:val="000000"/>
          <w:position w:val="-1"/>
        </w:rPr>
        <w:t xml:space="preserve">                                          </w:t>
      </w:r>
      <w:r>
        <w:rPr>
          <w:rFonts w:hint="eastAsia" w:ascii="宋体" w:hAnsi="宋体" w:cs="MingLiU"/>
          <w:color w:val="000000"/>
          <w:w w:val="200"/>
          <w:position w:val="-1"/>
          <w:u w:val="single"/>
        </w:rPr>
        <w:t xml:space="preserve"> </w:t>
      </w:r>
      <w:r>
        <w:rPr>
          <w:rFonts w:hint="eastAsia" w:ascii="宋体" w:hAnsi="宋体"/>
          <w:color w:val="000000"/>
          <w:position w:val="-1"/>
          <w:u w:val="single"/>
        </w:rPr>
        <w:tab/>
      </w:r>
      <w:r>
        <w:rPr>
          <w:rFonts w:hint="eastAsia" w:ascii="宋体" w:hAnsi="宋体" w:cs="MingLiU"/>
          <w:color w:val="000000"/>
          <w:position w:val="-1"/>
        </w:rPr>
        <w:t>年度                                                   单位：元</w:t>
      </w:r>
    </w:p>
    <w:tbl>
      <w:tblPr>
        <w:tblStyle w:val="4"/>
        <w:tblW w:w="15222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5"/>
        <w:gridCol w:w="985"/>
        <w:gridCol w:w="679"/>
        <w:gridCol w:w="676"/>
        <w:gridCol w:w="690"/>
        <w:gridCol w:w="642"/>
        <w:gridCol w:w="720"/>
        <w:gridCol w:w="900"/>
        <w:gridCol w:w="979"/>
        <w:gridCol w:w="696"/>
        <w:gridCol w:w="679"/>
        <w:gridCol w:w="696"/>
        <w:gridCol w:w="732"/>
        <w:gridCol w:w="768"/>
        <w:gridCol w:w="9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sz w:val="18"/>
                <w:szCs w:val="22"/>
              </w:rPr>
            </w:pPr>
          </w:p>
          <w:p>
            <w:pPr>
              <w:pStyle w:val="15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8"/>
                <w:szCs w:val="22"/>
              </w:rPr>
              <w:t xml:space="preserve">             项</w:t>
            </w: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ab/>
            </w:r>
            <w:r>
              <w:rPr>
                <w:rFonts w:hint="eastAsia" w:ascii="宋体" w:hAnsi="宋体" w:eastAsia="宋体" w:cs="MingLiU"/>
                <w:color w:val="000000"/>
                <w:kern w:val="2"/>
                <w:sz w:val="18"/>
                <w:szCs w:val="22"/>
              </w:rPr>
              <w:t>目</w:t>
            </w:r>
          </w:p>
        </w:tc>
        <w:tc>
          <w:tcPr>
            <w:tcW w:w="529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>本年金额</w:t>
            </w:r>
          </w:p>
        </w:tc>
        <w:tc>
          <w:tcPr>
            <w:tcW w:w="550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>上年金额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4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实收资本</w:t>
            </w:r>
          </w:p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(或股本)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资本</w:t>
            </w:r>
          </w:p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公积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减：库存股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 w:cs="MingLiU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8"/>
                <w:szCs w:val="22"/>
              </w:rPr>
              <w:t>盈余</w:t>
            </w:r>
          </w:p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8"/>
                <w:szCs w:val="22"/>
              </w:rPr>
              <w:t>公积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一般风险准备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未分配利润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所有者权益合计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实收资本</w:t>
            </w:r>
          </w:p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(或股本)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资本</w:t>
            </w:r>
          </w:p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公积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减：库存股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 w:cs="MingLiU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8"/>
                <w:szCs w:val="22"/>
              </w:rPr>
              <w:t>盈余</w:t>
            </w:r>
          </w:p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8"/>
                <w:szCs w:val="22"/>
              </w:rPr>
              <w:t>公积</w:t>
            </w: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一般风险准备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未分配利润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2"/>
              </w:rPr>
              <w:t>所有者权益合计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一、上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18"/>
                <w:szCs w:val="22"/>
              </w:rPr>
              <w:t>年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>年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18"/>
                <w:szCs w:val="22"/>
              </w:rPr>
              <w:t>末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>余额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加：会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18"/>
                <w:szCs w:val="22"/>
              </w:rPr>
              <w:t>计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>政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18"/>
                <w:szCs w:val="22"/>
              </w:rPr>
              <w:t>策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>变更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    前期差错更正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二、本年年初余额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三、本年增减变动金额（减少以“-”号填列）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（一）净利润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（二）直接计入所有者权益的利得和损失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1．可供出售金融资产公允价值变动净额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（1）计入所有者权益的金额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（2）转入当期损益的金额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2．现金流量套期工具公允价值变动净额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（1）计入所有者权益的金额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（2）转入当期损益的金额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（3）计入被套期项目初始确认金额中的金额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3．权益法下被投资单位其他所有者权益变动的影响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4．与计入所有者权益项目相关的所得税影响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5．其他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上述（一）和（二）小计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（三）所有者投入和减少资本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1．所有者投入资本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2．股份支付计入所有者权益的金额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3．其他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（四）利润分配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1．提取盈余公积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2．提取一般风险准备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3．对所有者（或股东）的分配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4．其他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（五）所有者权益内部结转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1．资本公积转增资本（或股本）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2．盈余公积转增资本（或股本）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3．盈余公积弥补亏损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4．一般风险准备弥补亏损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5．其他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jc w:val="both"/>
              <w:rPr>
                <w:rFonts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18"/>
                <w:szCs w:val="22"/>
              </w:rPr>
              <w:t xml:space="preserve"> 四、本年年末余额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widowControl w:val="0"/>
              <w:ind w:left="617"/>
              <w:jc w:val="both"/>
              <w:rPr>
                <w:rFonts w:ascii="宋体" w:hAnsi="宋体" w:eastAsia="宋体"/>
                <w:color w:val="000000"/>
                <w:kern w:val="2"/>
                <w:sz w:val="18"/>
                <w:szCs w:val="22"/>
              </w:rPr>
            </w:pPr>
          </w:p>
        </w:tc>
      </w:tr>
    </w:tbl>
    <w:p>
      <w:pPr>
        <w:pStyle w:val="15"/>
        <w:spacing w:line="360" w:lineRule="auto"/>
        <w:ind w:left="617"/>
        <w:rPr>
          <w:rFonts w:ascii="Arial" w:hAnsi="Arial" w:cs="Arial"/>
          <w:color w:val="000000"/>
        </w:rPr>
      </w:pPr>
    </w:p>
    <w:p>
      <w:pPr>
        <w:pStyle w:val="7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15"/>
        <w:spacing w:line="360" w:lineRule="auto"/>
        <w:ind w:left="617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pPr>
        <w:pStyle w:val="15"/>
        <w:rPr>
          <w:color w:val="000000"/>
        </w:rPr>
      </w:pPr>
    </w:p>
    <w:p>
      <w:r>
        <w:rPr>
          <w:rFonts w:hint="eastAsia" w:ascii="宋体" w:hAnsi="宋体"/>
          <w:color w:val="000000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8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1929"/>
    <w:rsid w:val="68F6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0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标题 2_0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一级标题_0"/>
    <w:basedOn w:val="3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8">
    <w:name w:val="四级标题"/>
    <w:basedOn w:val="9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9">
    <w:name w:val="二级标题_0"/>
    <w:basedOn w:val="3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0">
    <w:name w:val="需求正文_0"/>
    <w:basedOn w:val="3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1">
    <w:name w:val="列出段落1_0"/>
    <w:basedOn w:val="12"/>
    <w:qFormat/>
    <w:uiPriority w:val="34"/>
    <w:pPr>
      <w:ind w:firstLine="420"/>
    </w:pPr>
  </w:style>
  <w:style w:type="paragraph" w:customStyle="1" w:styleId="12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纸质表单正文"/>
    <w:basedOn w:val="2"/>
    <w:qFormat/>
    <w:uiPriority w:val="0"/>
    <w:pPr>
      <w:spacing w:after="0"/>
      <w:ind w:firstLine="400"/>
    </w:pPr>
  </w:style>
  <w:style w:type="paragraph" w:customStyle="1" w:styleId="14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2019-12-12T10:13:00Z</dcterms:created>
  <dc:creator>陈莉佳</dc:creator>
  <cp:lastModifiedBy>陈莉佳</cp:lastModifiedBy>
  <dcterms:modified xsi:type="dcterms:W3CDTF">2019-12-12T10:14:12Z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